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6CD" w:rsidRPr="006F268C" w:rsidRDefault="009666CD" w:rsidP="006F268C">
      <w:pPr>
        <w:jc w:val="center"/>
        <w:rPr>
          <w:rFonts w:ascii="宋体" w:eastAsia="宋体" w:hAnsi="宋体"/>
          <w:b/>
          <w:sz w:val="36"/>
          <w:szCs w:val="36"/>
        </w:rPr>
      </w:pPr>
      <w:bookmarkStart w:id="0" w:name="_GoBack"/>
      <w:bookmarkEnd w:id="0"/>
      <w:r w:rsidRPr="006F268C">
        <w:rPr>
          <w:rFonts w:ascii="宋体" w:eastAsia="宋体" w:hAnsi="宋体" w:hint="eastAsia"/>
          <w:b/>
          <w:sz w:val="36"/>
          <w:szCs w:val="36"/>
        </w:rPr>
        <w:t>乳腺癌患者的药学门诊管理</w:t>
      </w:r>
      <w:r w:rsidR="00A45497" w:rsidRPr="006F268C">
        <w:rPr>
          <w:rFonts w:ascii="宋体" w:eastAsia="宋体" w:hAnsi="宋体" w:hint="eastAsia"/>
          <w:b/>
          <w:sz w:val="36"/>
          <w:szCs w:val="36"/>
        </w:rPr>
        <w:t>专家共识</w:t>
      </w:r>
    </w:p>
    <w:p w:rsidR="009666CD" w:rsidRPr="006F268C" w:rsidRDefault="006F268C" w:rsidP="006F268C">
      <w:pPr>
        <w:jc w:val="center"/>
        <w:rPr>
          <w:rFonts w:ascii="仿宋" w:eastAsia="仿宋" w:hAnsi="仿宋"/>
          <w:sz w:val="24"/>
          <w:szCs w:val="24"/>
        </w:rPr>
      </w:pPr>
      <w:r>
        <w:rPr>
          <w:rFonts w:ascii="仿宋" w:eastAsia="仿宋" w:hAnsi="仿宋" w:hint="eastAsia"/>
          <w:sz w:val="24"/>
          <w:szCs w:val="24"/>
        </w:rPr>
        <w:t>(广东省药学会</w:t>
      </w:r>
      <w:r>
        <w:rPr>
          <w:rFonts w:ascii="仿宋" w:eastAsia="仿宋" w:hAnsi="仿宋"/>
          <w:sz w:val="24"/>
          <w:szCs w:val="24"/>
        </w:rPr>
        <w:t>2021年7月</w:t>
      </w:r>
      <w:r w:rsidR="004A5784">
        <w:rPr>
          <w:rFonts w:ascii="仿宋" w:eastAsia="仿宋" w:hAnsi="仿宋"/>
          <w:sz w:val="24"/>
          <w:szCs w:val="24"/>
        </w:rPr>
        <w:t>15</w:t>
      </w:r>
      <w:r>
        <w:rPr>
          <w:rFonts w:ascii="仿宋" w:eastAsia="仿宋" w:hAnsi="仿宋"/>
          <w:sz w:val="24"/>
          <w:szCs w:val="24"/>
        </w:rPr>
        <w:t>日</w:t>
      </w:r>
      <w:r>
        <w:rPr>
          <w:rFonts w:ascii="仿宋" w:eastAsia="仿宋" w:hAnsi="仿宋" w:hint="eastAsia"/>
          <w:sz w:val="24"/>
          <w:szCs w:val="24"/>
        </w:rPr>
        <w:t>发布)</w:t>
      </w:r>
    </w:p>
    <w:p w:rsidR="00C01AED" w:rsidRDefault="00C01AED" w:rsidP="006F268C">
      <w:pPr>
        <w:ind w:firstLineChars="200" w:firstLine="480"/>
        <w:rPr>
          <w:rFonts w:ascii="仿宋" w:eastAsia="仿宋" w:hAnsi="仿宋"/>
          <w:sz w:val="24"/>
          <w:szCs w:val="24"/>
        </w:rPr>
      </w:pPr>
    </w:p>
    <w:p w:rsidR="009666CD" w:rsidRPr="00EE1A36" w:rsidRDefault="00C01AED" w:rsidP="006F268C">
      <w:pPr>
        <w:ind w:firstLineChars="200" w:firstLine="480"/>
        <w:rPr>
          <w:rFonts w:ascii="仿宋" w:eastAsia="仿宋" w:hAnsi="仿宋"/>
          <w:sz w:val="24"/>
          <w:szCs w:val="24"/>
        </w:rPr>
      </w:pPr>
      <w:r w:rsidRPr="004A5784">
        <w:rPr>
          <w:rFonts w:ascii="仿宋" w:eastAsia="仿宋" w:hAnsi="仿宋" w:hint="eastAsia"/>
          <w:sz w:val="24"/>
          <w:szCs w:val="24"/>
        </w:rPr>
        <w:t>广东省药学会于2</w:t>
      </w:r>
      <w:r w:rsidRPr="004A5784">
        <w:rPr>
          <w:rFonts w:ascii="仿宋" w:eastAsia="仿宋" w:hAnsi="仿宋"/>
          <w:sz w:val="24"/>
          <w:szCs w:val="24"/>
        </w:rPr>
        <w:t>017</w:t>
      </w:r>
      <w:r w:rsidR="00840BE1" w:rsidRPr="004A5784">
        <w:rPr>
          <w:rFonts w:ascii="仿宋" w:eastAsia="仿宋" w:hAnsi="仿宋" w:hint="eastAsia"/>
          <w:sz w:val="24"/>
          <w:szCs w:val="24"/>
        </w:rPr>
        <w:t>及</w:t>
      </w:r>
      <w:r w:rsidRPr="004A5784">
        <w:rPr>
          <w:rFonts w:ascii="仿宋" w:eastAsia="仿宋" w:hAnsi="仿宋" w:hint="eastAsia"/>
          <w:sz w:val="24"/>
          <w:szCs w:val="24"/>
        </w:rPr>
        <w:t>2</w:t>
      </w:r>
      <w:r w:rsidRPr="004A5784">
        <w:rPr>
          <w:rFonts w:ascii="仿宋" w:eastAsia="仿宋" w:hAnsi="仿宋"/>
          <w:sz w:val="24"/>
          <w:szCs w:val="24"/>
        </w:rPr>
        <w:t>018</w:t>
      </w:r>
      <w:r w:rsidRPr="004A5784">
        <w:rPr>
          <w:rFonts w:ascii="仿宋" w:eastAsia="仿宋" w:hAnsi="仿宋" w:hint="eastAsia"/>
          <w:sz w:val="24"/>
          <w:szCs w:val="24"/>
        </w:rPr>
        <w:t>年分别推动药学门诊与外科药学工作，</w:t>
      </w:r>
      <w:r w:rsidR="00B87599">
        <w:rPr>
          <w:rFonts w:ascii="仿宋" w:eastAsia="仿宋" w:hAnsi="仿宋" w:hint="eastAsia"/>
          <w:sz w:val="24"/>
          <w:szCs w:val="24"/>
        </w:rPr>
        <w:t>2</w:t>
      </w:r>
      <w:r w:rsidR="00B87599">
        <w:rPr>
          <w:rFonts w:ascii="仿宋" w:eastAsia="仿宋" w:hAnsi="仿宋"/>
          <w:sz w:val="24"/>
          <w:szCs w:val="24"/>
        </w:rPr>
        <w:t>018</w:t>
      </w:r>
      <w:r w:rsidR="00B87599">
        <w:rPr>
          <w:rFonts w:ascii="仿宋" w:eastAsia="仿宋" w:hAnsi="仿宋" w:hint="eastAsia"/>
          <w:sz w:val="24"/>
          <w:szCs w:val="24"/>
        </w:rPr>
        <w:t>年发布了《药学门诊试行标准》，2</w:t>
      </w:r>
      <w:r w:rsidR="00B87599">
        <w:rPr>
          <w:rFonts w:ascii="仿宋" w:eastAsia="仿宋" w:hAnsi="仿宋"/>
          <w:sz w:val="24"/>
          <w:szCs w:val="24"/>
        </w:rPr>
        <w:t>021</w:t>
      </w:r>
      <w:r w:rsidR="00B87599">
        <w:rPr>
          <w:rFonts w:ascii="仿宋" w:eastAsia="仿宋" w:hAnsi="仿宋" w:hint="eastAsia"/>
          <w:sz w:val="24"/>
          <w:szCs w:val="24"/>
        </w:rPr>
        <w:t>年出版了学界第一本《外科药学》教材，</w:t>
      </w:r>
      <w:r w:rsidRPr="004A5784">
        <w:rPr>
          <w:rFonts w:ascii="仿宋" w:eastAsia="仿宋" w:hAnsi="仿宋" w:hint="eastAsia"/>
          <w:sz w:val="24"/>
          <w:szCs w:val="24"/>
        </w:rPr>
        <w:t>这两项工作</w:t>
      </w:r>
      <w:r w:rsidR="00840BE1" w:rsidRPr="004A5784">
        <w:rPr>
          <w:rFonts w:ascii="仿宋" w:eastAsia="仿宋" w:hAnsi="仿宋" w:hint="eastAsia"/>
          <w:sz w:val="24"/>
          <w:szCs w:val="24"/>
        </w:rPr>
        <w:t>是</w:t>
      </w:r>
      <w:r w:rsidRPr="004A5784">
        <w:rPr>
          <w:rFonts w:ascii="仿宋" w:eastAsia="仿宋" w:hAnsi="仿宋" w:hint="eastAsia"/>
          <w:sz w:val="24"/>
          <w:szCs w:val="24"/>
        </w:rPr>
        <w:t>全程化药学服务的两个重要</w:t>
      </w:r>
      <w:r w:rsidR="00840BE1" w:rsidRPr="004A5784">
        <w:rPr>
          <w:rFonts w:ascii="仿宋" w:eastAsia="仿宋" w:hAnsi="仿宋" w:hint="eastAsia"/>
          <w:sz w:val="24"/>
          <w:szCs w:val="24"/>
        </w:rPr>
        <w:t>组成部分</w:t>
      </w:r>
      <w:r w:rsidRPr="004A5784">
        <w:rPr>
          <w:rFonts w:ascii="仿宋" w:eastAsia="仿宋" w:hAnsi="仿宋" w:hint="eastAsia"/>
          <w:sz w:val="24"/>
          <w:szCs w:val="24"/>
        </w:rPr>
        <w:t>。</w:t>
      </w:r>
      <w:r w:rsidR="009666CD" w:rsidRPr="004A5784">
        <w:rPr>
          <w:rFonts w:ascii="仿宋" w:eastAsia="仿宋" w:hAnsi="仿宋" w:hint="eastAsia"/>
          <w:sz w:val="24"/>
          <w:szCs w:val="24"/>
        </w:rPr>
        <w:t>乳腺癌是女性最常见的肿瘤，占我国所有女性癌的15%，并且发病率呈逐年上升的趋势。根据国家癌症中心发布的最新数据显示，乳腺癌的发病率和死亡率分别位居女性恶性肿瘤的第1位和第5位。乳腺癌的治疗主要包括手术、放</w:t>
      </w:r>
      <w:r w:rsidR="00840BE1" w:rsidRPr="004A5784">
        <w:rPr>
          <w:rFonts w:ascii="仿宋" w:eastAsia="仿宋" w:hAnsi="仿宋" w:hint="eastAsia"/>
          <w:sz w:val="24"/>
          <w:szCs w:val="24"/>
        </w:rPr>
        <w:t>疗、</w:t>
      </w:r>
      <w:r w:rsidR="009666CD" w:rsidRPr="004A5784">
        <w:rPr>
          <w:rFonts w:ascii="仿宋" w:eastAsia="仿宋" w:hAnsi="仿宋" w:hint="eastAsia"/>
          <w:sz w:val="24"/>
          <w:szCs w:val="24"/>
        </w:rPr>
        <w:t>化疗、内分泌治疗和靶向治疗等。</w:t>
      </w:r>
      <w:r w:rsidRPr="004A5784">
        <w:rPr>
          <w:rFonts w:ascii="仿宋" w:eastAsia="仿宋" w:hAnsi="仿宋" w:hint="eastAsia"/>
          <w:sz w:val="24"/>
          <w:szCs w:val="24"/>
        </w:rPr>
        <w:t>乳腺癌治疗需要手术和药物治疗密切配合，使得乳腺癌治疗成为外科药学和药学门诊工作结</w:t>
      </w:r>
      <w:r w:rsidR="00077CB4" w:rsidRPr="004A5784">
        <w:rPr>
          <w:rFonts w:ascii="仿宋" w:eastAsia="仿宋" w:hAnsi="仿宋" w:hint="eastAsia"/>
          <w:sz w:val="24"/>
          <w:szCs w:val="24"/>
        </w:rPr>
        <w:t>合的良好案例。本共识旨在以乳腺癌患者的药学门诊管理为切入点，推动外科药学工作的深入</w:t>
      </w:r>
      <w:r w:rsidR="00840BE1" w:rsidRPr="004A5784">
        <w:rPr>
          <w:rFonts w:ascii="仿宋" w:eastAsia="仿宋" w:hAnsi="仿宋" w:hint="eastAsia"/>
          <w:sz w:val="24"/>
          <w:szCs w:val="24"/>
        </w:rPr>
        <w:t>开展</w:t>
      </w:r>
      <w:r w:rsidR="00077CB4" w:rsidRPr="004A5784">
        <w:rPr>
          <w:rFonts w:ascii="仿宋" w:eastAsia="仿宋" w:hAnsi="仿宋" w:hint="eastAsia"/>
          <w:sz w:val="24"/>
          <w:szCs w:val="24"/>
        </w:rPr>
        <w:t>。</w:t>
      </w:r>
    </w:p>
    <w:p w:rsidR="009666CD" w:rsidRPr="00EE1A36" w:rsidRDefault="009666CD" w:rsidP="006F268C">
      <w:pPr>
        <w:ind w:firstLineChars="200" w:firstLine="480"/>
        <w:rPr>
          <w:rFonts w:ascii="仿宋" w:eastAsia="仿宋" w:hAnsi="仿宋"/>
          <w:b/>
          <w:sz w:val="24"/>
          <w:szCs w:val="24"/>
        </w:rPr>
      </w:pPr>
      <w:r w:rsidRPr="00EE1A36">
        <w:rPr>
          <w:rFonts w:ascii="仿宋" w:eastAsia="仿宋" w:hAnsi="仿宋" w:hint="eastAsia"/>
          <w:sz w:val="24"/>
          <w:szCs w:val="24"/>
        </w:rPr>
        <w:t>目前国内外乳腺癌指南建议</w:t>
      </w:r>
      <w:r w:rsidRPr="00EE1A36">
        <w:rPr>
          <w:rFonts w:ascii="仿宋" w:eastAsia="仿宋" w:hAnsi="仿宋" w:hint="eastAsia"/>
          <w:sz w:val="24"/>
          <w:szCs w:val="24"/>
          <w:vertAlign w:val="superscript"/>
        </w:rPr>
        <w:t>[</w:t>
      </w:r>
      <w:r w:rsidRPr="00EE1A36">
        <w:rPr>
          <w:rFonts w:ascii="仿宋" w:eastAsia="仿宋" w:hAnsi="仿宋"/>
          <w:sz w:val="24"/>
          <w:szCs w:val="24"/>
          <w:vertAlign w:val="superscript"/>
        </w:rPr>
        <w:t>1-3]</w:t>
      </w:r>
      <w:r w:rsidRPr="00EE1A36">
        <w:rPr>
          <w:rFonts w:ascii="仿宋" w:eastAsia="仿宋" w:hAnsi="仿宋" w:hint="eastAsia"/>
          <w:sz w:val="24"/>
          <w:szCs w:val="24"/>
        </w:rPr>
        <w:t>，雌激素受体和（或）孕激素受体表达阳性的乳腺癌患者，术后需要接受至少</w:t>
      </w:r>
      <w:r w:rsidR="001C485F" w:rsidRPr="00EE1A36">
        <w:rPr>
          <w:rFonts w:ascii="仿宋" w:eastAsia="仿宋" w:hAnsi="仿宋" w:hint="eastAsia"/>
          <w:sz w:val="24"/>
          <w:szCs w:val="24"/>
        </w:rPr>
        <w:t xml:space="preserve"> 10</w:t>
      </w:r>
      <w:r w:rsidR="001C485F" w:rsidRPr="00EE1A36">
        <w:rPr>
          <w:rFonts w:ascii="仿宋" w:eastAsia="仿宋" w:hAnsi="仿宋" w:cs="Times New Roman"/>
          <w:sz w:val="24"/>
          <w:szCs w:val="24"/>
        </w:rPr>
        <w:t>~</w:t>
      </w:r>
      <w:r w:rsidR="001C485F" w:rsidRPr="00EE1A36">
        <w:rPr>
          <w:rFonts w:ascii="仿宋" w:eastAsia="仿宋" w:hAnsi="仿宋" w:hint="eastAsia"/>
          <w:sz w:val="24"/>
          <w:szCs w:val="24"/>
        </w:rPr>
        <w:t>15</w:t>
      </w:r>
      <w:r w:rsidRPr="00EE1A36">
        <w:rPr>
          <w:rFonts w:ascii="仿宋" w:eastAsia="仿宋" w:hAnsi="仿宋" w:hint="eastAsia"/>
          <w:sz w:val="24"/>
          <w:szCs w:val="24"/>
        </w:rPr>
        <w:t>年甚至更长时间的内分泌治疗。随着乳腺癌诊疗水平的不断提高，患者的生存时间已有明显延长，帕妥珠单抗和曲妥珠单抗双靶治疗方案里，在中位随访6年时间，无病生存率达90.6%。随着越来越多的乳腺癌药物上市，使得乳腺癌变成一种慢性疾病，乳腺癌患者长期的随访非常重要。</w:t>
      </w:r>
    </w:p>
    <w:p w:rsidR="009666CD" w:rsidRPr="00EE1A36" w:rsidRDefault="009666CD" w:rsidP="006F268C">
      <w:pPr>
        <w:ind w:firstLineChars="200" w:firstLine="482"/>
        <w:rPr>
          <w:rFonts w:ascii="仿宋" w:eastAsia="仿宋" w:hAnsi="仿宋"/>
          <w:sz w:val="24"/>
          <w:szCs w:val="24"/>
        </w:rPr>
      </w:pPr>
      <w:r w:rsidRPr="00EE1A36">
        <w:rPr>
          <w:rFonts w:ascii="仿宋" w:eastAsia="仿宋" w:hAnsi="仿宋" w:hint="eastAsia"/>
          <w:b/>
          <w:sz w:val="24"/>
          <w:szCs w:val="24"/>
        </w:rPr>
        <w:t>一、开展乳腺癌患者药学门诊管理的意义</w:t>
      </w:r>
    </w:p>
    <w:p w:rsidR="00A45497" w:rsidRPr="00EE1A36" w:rsidRDefault="009666CD" w:rsidP="006F268C">
      <w:pPr>
        <w:pStyle w:val="a3"/>
        <w:spacing w:before="0" w:beforeAutospacing="0" w:after="0" w:afterAutospacing="0"/>
        <w:ind w:firstLineChars="200" w:firstLine="480"/>
        <w:jc w:val="both"/>
        <w:rPr>
          <w:rFonts w:ascii="仿宋" w:eastAsia="仿宋" w:hAnsi="仿宋"/>
          <w:snapToGrid w:val="0"/>
        </w:rPr>
      </w:pPr>
      <w:r w:rsidRPr="00EE1A36">
        <w:rPr>
          <w:rFonts w:ascii="仿宋" w:eastAsia="仿宋" w:hAnsi="仿宋" w:hint="eastAsia"/>
          <w:snapToGrid w:val="0"/>
        </w:rPr>
        <w:t>药学门诊</w:t>
      </w:r>
      <w:r w:rsidRPr="00EE1A36">
        <w:rPr>
          <w:rFonts w:ascii="仿宋" w:eastAsia="仿宋" w:hAnsi="仿宋"/>
          <w:snapToGrid w:val="0"/>
        </w:rPr>
        <w:t>（</w:t>
      </w:r>
      <w:r w:rsidR="006F268C">
        <w:rPr>
          <w:rFonts w:ascii="仿宋" w:eastAsia="仿宋" w:hAnsi="仿宋" w:hint="eastAsia"/>
          <w:snapToGrid w:val="0"/>
        </w:rPr>
        <w:t>p</w:t>
      </w:r>
      <w:r w:rsidRPr="00EE1A36">
        <w:rPr>
          <w:rFonts w:ascii="仿宋" w:eastAsia="仿宋" w:hAnsi="仿宋"/>
          <w:snapToGrid w:val="0"/>
        </w:rPr>
        <w:t>harmacist-managed</w:t>
      </w:r>
      <w:r w:rsidR="006F268C">
        <w:rPr>
          <w:rFonts w:ascii="仿宋" w:eastAsia="仿宋" w:hAnsi="仿宋"/>
          <w:snapToGrid w:val="0"/>
        </w:rPr>
        <w:t xml:space="preserve"> </w:t>
      </w:r>
      <w:r w:rsidRPr="00EE1A36">
        <w:rPr>
          <w:rFonts w:ascii="仿宋" w:eastAsia="仿宋" w:hAnsi="仿宋"/>
          <w:snapToGrid w:val="0"/>
        </w:rPr>
        <w:t>clinic)</w:t>
      </w:r>
      <w:r w:rsidRPr="00EE1A36">
        <w:rPr>
          <w:rFonts w:ascii="仿宋" w:eastAsia="仿宋" w:hAnsi="仿宋" w:hint="eastAsia"/>
          <w:snapToGrid w:val="0"/>
        </w:rPr>
        <w:t>是结合医学模式转变的创新型诊疗模式，是国家推进药学服务从“以药品为中心”转变为“以病人为中心”，从“以保障药品供应为中心”转变为“在保障药品供应的基础上，以重点加强药学专业技术服务、参与临床用药为中心”，促进药学服务更加贴近患者、贴近临床、贴近社会的具体解决方案。</w:t>
      </w:r>
      <w:r w:rsidRPr="00EE1A36">
        <w:rPr>
          <w:rFonts w:ascii="仿宋" w:eastAsia="仿宋" w:hAnsi="仿宋" w:hint="eastAsia"/>
        </w:rPr>
        <w:t>药学门诊意义体现在：（1）</w:t>
      </w:r>
      <w:r w:rsidRPr="00EE1A36">
        <w:rPr>
          <w:rFonts w:ascii="仿宋" w:eastAsia="仿宋" w:hAnsi="仿宋" w:cs="华文细黑" w:hint="eastAsia"/>
          <w:snapToGrid w:val="0"/>
          <w:color w:val="000000"/>
        </w:rPr>
        <w:t>通过药学门诊的开设，为患者用药提供便利，可以提升医院在患者群体中的口碑和形象</w:t>
      </w:r>
      <w:r w:rsidRPr="00EE1A36">
        <w:rPr>
          <w:rFonts w:ascii="仿宋" w:eastAsia="仿宋" w:hAnsi="仿宋" w:hint="eastAsia"/>
        </w:rPr>
        <w:t>。（2）</w:t>
      </w:r>
      <w:r w:rsidRPr="00EE1A36">
        <w:rPr>
          <w:rFonts w:ascii="仿宋" w:eastAsia="仿宋" w:hAnsi="仿宋" w:cs="华文细黑" w:hint="eastAsia"/>
          <w:snapToGrid w:val="0"/>
          <w:color w:val="000000"/>
        </w:rPr>
        <w:t>药学门诊可以</w:t>
      </w:r>
      <w:r w:rsidRPr="00EE1A36">
        <w:rPr>
          <w:rFonts w:ascii="仿宋" w:eastAsia="仿宋" w:hAnsi="仿宋" w:hint="eastAsia"/>
        </w:rPr>
        <w:t>为病人提供优化用药方案，减少药物不良反</w:t>
      </w:r>
      <w:r w:rsidRPr="00EE1A36">
        <w:rPr>
          <w:rFonts w:ascii="仿宋" w:eastAsia="仿宋" w:hAnsi="仿宋" w:cs="FZSSK--GBK1-0"/>
        </w:rPr>
        <w:t xml:space="preserve"> </w:t>
      </w:r>
      <w:r w:rsidRPr="00EE1A36">
        <w:rPr>
          <w:rFonts w:ascii="仿宋" w:eastAsia="仿宋" w:hAnsi="仿宋" w:hint="eastAsia"/>
        </w:rPr>
        <w:t>应事件，</w:t>
      </w:r>
      <w:r w:rsidRPr="00EE1A36">
        <w:rPr>
          <w:rFonts w:ascii="仿宋" w:eastAsia="仿宋" w:hAnsi="仿宋" w:cs="华文细黑" w:hint="eastAsia"/>
          <w:snapToGrid w:val="0"/>
          <w:color w:val="000000"/>
        </w:rPr>
        <w:t>提高患者用药依从性和治疗效果，提高药物治疗水平和用药安全性，降低用药风险。</w:t>
      </w:r>
      <w:r w:rsidRPr="00EE1A36">
        <w:rPr>
          <w:rFonts w:ascii="仿宋" w:eastAsia="仿宋" w:hAnsi="仿宋" w:cs="华文细黑" w:hint="eastAsia"/>
          <w:bCs/>
          <w:snapToGrid w:val="0"/>
          <w:color w:val="000000"/>
        </w:rPr>
        <w:t>（</w:t>
      </w:r>
      <w:r w:rsidRPr="00EE1A36">
        <w:rPr>
          <w:rFonts w:ascii="仿宋" w:eastAsia="仿宋" w:hAnsi="仿宋" w:cs="华文细黑"/>
          <w:bCs/>
          <w:snapToGrid w:val="0"/>
          <w:color w:val="000000"/>
        </w:rPr>
        <w:t>3）</w:t>
      </w:r>
      <w:r w:rsidRPr="00EE1A36">
        <w:rPr>
          <w:rFonts w:ascii="仿宋" w:eastAsia="仿宋" w:hAnsi="仿宋" w:cs="华文细黑" w:hint="eastAsia"/>
          <w:snapToGrid w:val="0"/>
          <w:color w:val="000000"/>
        </w:rPr>
        <w:t>可以通过对患者用药信息的收集与药物重整，</w:t>
      </w:r>
      <w:r w:rsidRPr="00EE1A36">
        <w:rPr>
          <w:rFonts w:ascii="仿宋" w:eastAsia="仿宋" w:hAnsi="仿宋" w:hint="eastAsia"/>
        </w:rPr>
        <w:t>提高药物治疗水平</w:t>
      </w:r>
      <w:r w:rsidRPr="00EE1A36">
        <w:rPr>
          <w:rFonts w:ascii="仿宋" w:eastAsia="仿宋" w:hAnsi="仿宋" w:cs="华文细黑" w:hint="eastAsia"/>
          <w:snapToGrid w:val="0"/>
          <w:color w:val="000000"/>
        </w:rPr>
        <w:t>，</w:t>
      </w:r>
      <w:r w:rsidRPr="00EE1A36">
        <w:rPr>
          <w:rFonts w:ascii="仿宋" w:eastAsia="仿宋" w:hAnsi="仿宋" w:hint="eastAsia"/>
        </w:rPr>
        <w:t>降低药物治疗费用，引导病人增强安全、合理用药意识</w:t>
      </w:r>
      <w:r w:rsidRPr="00EE1A36">
        <w:rPr>
          <w:rFonts w:ascii="仿宋" w:eastAsia="仿宋" w:hAnsi="仿宋" w:cs="FZSSK--GBK1-0"/>
        </w:rPr>
        <w:t xml:space="preserve"> </w:t>
      </w:r>
      <w:r w:rsidRPr="00EE1A36">
        <w:rPr>
          <w:rFonts w:ascii="仿宋" w:eastAsia="仿宋" w:hAnsi="仿宋" w:cs="华文细黑" w:hint="eastAsia"/>
          <w:snapToGrid w:val="0"/>
          <w:color w:val="000000"/>
        </w:rPr>
        <w:t>。此外，</w:t>
      </w:r>
      <w:r w:rsidRPr="00EE1A36">
        <w:rPr>
          <w:rFonts w:ascii="仿宋" w:eastAsia="仿宋" w:hAnsi="仿宋" w:hint="eastAsia"/>
        </w:rPr>
        <w:t>肿瘤药学门诊开设，对</w:t>
      </w:r>
      <w:r w:rsidRPr="00EE1A36">
        <w:rPr>
          <w:rFonts w:ascii="仿宋" w:eastAsia="仿宋" w:hAnsi="仿宋" w:hint="eastAsia"/>
          <w:snapToGrid w:val="0"/>
        </w:rPr>
        <w:t>规范肿瘤药物治疗，优化临床合理用药，实现医生、药师、患者的联动，最终推动建立肿瘤单病种药学门诊管理的规范流程具有重要意义。</w:t>
      </w:r>
    </w:p>
    <w:p w:rsidR="00AF63E4" w:rsidRPr="00EE1A36" w:rsidRDefault="009666CD" w:rsidP="006F268C">
      <w:pPr>
        <w:pStyle w:val="a3"/>
        <w:spacing w:before="0" w:beforeAutospacing="0" w:after="0" w:afterAutospacing="0"/>
        <w:ind w:firstLineChars="200" w:firstLine="480"/>
        <w:jc w:val="both"/>
        <w:rPr>
          <w:rFonts w:ascii="仿宋" w:eastAsia="仿宋" w:hAnsi="仿宋"/>
        </w:rPr>
      </w:pPr>
      <w:r w:rsidRPr="00EE1A36">
        <w:rPr>
          <w:rFonts w:ascii="仿宋" w:eastAsia="仿宋" w:hAnsi="仿宋" w:hint="eastAsia"/>
        </w:rPr>
        <w:t>为了更好地了解乳腺癌患者对药学门诊的认知，项目组于2020年1月开始进行问卷调查，此次调查共收回有效问卷565份，大部分来自广东</w:t>
      </w:r>
      <w:r w:rsidRPr="00EE1A36">
        <w:rPr>
          <w:rFonts w:ascii="仿宋" w:eastAsia="仿宋" w:hAnsi="仿宋"/>
        </w:rPr>
        <w:t>、</w:t>
      </w:r>
      <w:r w:rsidRPr="00EE1A36">
        <w:rPr>
          <w:rFonts w:ascii="仿宋" w:eastAsia="仿宋" w:hAnsi="仿宋" w:hint="eastAsia"/>
        </w:rPr>
        <w:t>上海的患者，年龄在30-40岁患者占19.65%，</w:t>
      </w:r>
      <w:r w:rsidRPr="00EE1A36">
        <w:rPr>
          <w:rFonts w:ascii="仿宋" w:eastAsia="仿宋" w:hAnsi="仿宋"/>
        </w:rPr>
        <w:t>其中，</w:t>
      </w:r>
      <w:r w:rsidRPr="00EE1A36">
        <w:rPr>
          <w:rFonts w:ascii="仿宋" w:eastAsia="仿宋" w:hAnsi="仿宋" w:hint="eastAsia"/>
        </w:rPr>
        <w:t>40-60岁患者占49.03%；</w:t>
      </w:r>
      <w:r w:rsidRPr="00EE1A36">
        <w:rPr>
          <w:rFonts w:ascii="仿宋" w:eastAsia="仿宋" w:hAnsi="仿宋"/>
        </w:rPr>
        <w:t>大学学历占</w:t>
      </w:r>
      <w:r w:rsidRPr="00EE1A36">
        <w:rPr>
          <w:rFonts w:ascii="仿宋" w:eastAsia="仿宋" w:hAnsi="仿宋" w:hint="eastAsia"/>
        </w:rPr>
        <w:t>34.16%，</w:t>
      </w:r>
      <w:r w:rsidRPr="00EE1A36">
        <w:rPr>
          <w:rFonts w:ascii="仿宋" w:eastAsia="仿宋" w:hAnsi="仿宋"/>
        </w:rPr>
        <w:t>高中学历占</w:t>
      </w:r>
      <w:r w:rsidRPr="00EE1A36">
        <w:rPr>
          <w:rFonts w:ascii="仿宋" w:eastAsia="仿宋" w:hAnsi="仿宋" w:hint="eastAsia"/>
        </w:rPr>
        <w:t>28.5%</w:t>
      </w:r>
      <w:r w:rsidRPr="00EE1A36">
        <w:rPr>
          <w:rFonts w:ascii="仿宋" w:eastAsia="仿宋" w:hAnsi="仿宋"/>
        </w:rPr>
        <w:t>，</w:t>
      </w:r>
      <w:r w:rsidRPr="00EE1A36">
        <w:rPr>
          <w:rFonts w:ascii="仿宋" w:eastAsia="仿宋" w:hAnsi="仿宋" w:hint="eastAsia"/>
        </w:rPr>
        <w:t>离退休人员</w:t>
      </w:r>
      <w:r w:rsidRPr="00EE1A36">
        <w:rPr>
          <w:rFonts w:ascii="仿宋" w:eastAsia="仿宋" w:hAnsi="仿宋"/>
        </w:rPr>
        <w:t>约占</w:t>
      </w:r>
      <w:r w:rsidRPr="00EE1A36">
        <w:rPr>
          <w:rFonts w:ascii="仿宋" w:eastAsia="仿宋" w:hAnsi="仿宋" w:hint="eastAsia"/>
        </w:rPr>
        <w:t>19.16%，企业人员约</w:t>
      </w:r>
      <w:r w:rsidRPr="00EE1A36">
        <w:rPr>
          <w:rFonts w:ascii="仿宋" w:eastAsia="仿宋" w:hAnsi="仿宋"/>
        </w:rPr>
        <w:t>占</w:t>
      </w:r>
      <w:r w:rsidRPr="00EE1A36">
        <w:rPr>
          <w:rFonts w:ascii="仿宋" w:eastAsia="仿宋" w:hAnsi="仿宋" w:hint="eastAsia"/>
        </w:rPr>
        <w:t>21.77%。调查结果</w:t>
      </w:r>
      <w:r w:rsidR="00A45497" w:rsidRPr="00EE1A36">
        <w:rPr>
          <w:rFonts w:ascii="仿宋" w:eastAsia="仿宋" w:hAnsi="仿宋" w:hint="eastAsia"/>
        </w:rPr>
        <w:t>如下</w:t>
      </w:r>
      <w:r w:rsidRPr="00EE1A36">
        <w:rPr>
          <w:rFonts w:ascii="仿宋" w:eastAsia="仿宋" w:hAnsi="仿宋" w:hint="eastAsia"/>
        </w:rPr>
        <w:t>：</w:t>
      </w:r>
    </w:p>
    <w:p w:rsidR="00A45497"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（1）患者对“药师”知晓率低：仅18.58%患者了解药师岗位，48.85%患者听说过药师用药教育服务。</w:t>
      </w:r>
    </w:p>
    <w:p w:rsidR="00A45497"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（2）患者对药师有一定的认可：</w:t>
      </w:r>
      <w:r w:rsidRPr="00EE1A36">
        <w:rPr>
          <w:rFonts w:ascii="仿宋" w:eastAsia="仿宋" w:hAnsi="仿宋"/>
          <w:sz w:val="24"/>
          <w:szCs w:val="24"/>
        </w:rPr>
        <w:t>对于</w:t>
      </w:r>
      <w:r w:rsidRPr="00EE1A36">
        <w:rPr>
          <w:rFonts w:ascii="仿宋" w:eastAsia="仿宋" w:hAnsi="仿宋" w:hint="eastAsia"/>
          <w:sz w:val="24"/>
          <w:szCs w:val="24"/>
        </w:rPr>
        <w:t>日常就诊，26.02%患者认为药师有很大帮助，39.65%%患者认为有一定帮助；62.48%患者认为药师能够在诊疗过程中能发挥其应有的职责。</w:t>
      </w:r>
    </w:p>
    <w:p w:rsidR="00A45497"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（3）尽管大部分患者没听说过或不了解药学门诊，但约94.69%患者认为有必要成立肿瘤药学门诊，并希望药师深入了解患者病史、评估病情、进行必要的剂量调整、制定合理的监护随访计划</w:t>
      </w:r>
      <w:r w:rsidRPr="00EE1A36">
        <w:rPr>
          <w:rFonts w:ascii="仿宋" w:eastAsia="仿宋" w:hAnsi="仿宋"/>
          <w:sz w:val="24"/>
          <w:szCs w:val="24"/>
        </w:rPr>
        <w:t>以及</w:t>
      </w:r>
      <w:r w:rsidRPr="00EE1A36">
        <w:rPr>
          <w:rFonts w:ascii="仿宋" w:eastAsia="仿宋" w:hAnsi="仿宋" w:hint="eastAsia"/>
          <w:sz w:val="24"/>
          <w:szCs w:val="24"/>
        </w:rPr>
        <w:t>对患者进行详细的用药教育，包括提供药物不良反应、药物使用注意事项等方面信息。</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（4）如开设肿瘤药学门诊，50.09%患者表示愿意挂号就诊，63.19%患者表示会听从药师提供的用药建议以及药学监护计划。</w:t>
      </w:r>
      <w:r w:rsidRPr="00EE1A36">
        <w:rPr>
          <w:rFonts w:ascii="仿宋" w:eastAsia="仿宋" w:hAnsi="仿宋"/>
          <w:sz w:val="24"/>
          <w:szCs w:val="24"/>
        </w:rPr>
        <w:t>根据</w:t>
      </w:r>
      <w:r w:rsidRPr="00EE1A36">
        <w:rPr>
          <w:rFonts w:ascii="仿宋" w:eastAsia="仿宋" w:hAnsi="仿宋" w:hint="eastAsia"/>
          <w:sz w:val="24"/>
          <w:szCs w:val="24"/>
        </w:rPr>
        <w:t>调查结果显示，患者对门诊提供药学服</w:t>
      </w:r>
      <w:r w:rsidRPr="00EE1A36">
        <w:rPr>
          <w:rFonts w:ascii="仿宋" w:eastAsia="仿宋" w:hAnsi="仿宋" w:hint="eastAsia"/>
          <w:sz w:val="24"/>
          <w:szCs w:val="24"/>
        </w:rPr>
        <w:lastRenderedPageBreak/>
        <w:t>务有需求，药师应该利用专业优势，加强对患者用药宣教，与医生护士一起对患者进行管理和随访，提高患者依从性和生活质量。</w:t>
      </w:r>
    </w:p>
    <w:p w:rsidR="009666CD" w:rsidRPr="00EE1A36" w:rsidRDefault="009666CD" w:rsidP="006F268C">
      <w:pPr>
        <w:ind w:firstLineChars="200" w:firstLine="482"/>
        <w:rPr>
          <w:rFonts w:ascii="仿宋" w:eastAsia="仿宋" w:hAnsi="仿宋"/>
          <w:sz w:val="24"/>
          <w:szCs w:val="24"/>
        </w:rPr>
      </w:pPr>
      <w:r w:rsidRPr="00EE1A36">
        <w:rPr>
          <w:rFonts w:ascii="仿宋" w:eastAsia="仿宋" w:hAnsi="仿宋" w:hint="eastAsia"/>
          <w:b/>
          <w:sz w:val="24"/>
          <w:szCs w:val="24"/>
        </w:rPr>
        <w:t>二、门诊人员及基本设施要求</w:t>
      </w:r>
    </w:p>
    <w:p w:rsidR="009666CD" w:rsidRPr="00EE1A36" w:rsidRDefault="00FF2AC4" w:rsidP="00FF2AC4">
      <w:pPr>
        <w:ind w:firstLineChars="200" w:firstLine="482"/>
        <w:rPr>
          <w:rFonts w:ascii="仿宋" w:eastAsia="仿宋" w:hAnsi="仿宋"/>
          <w:b/>
          <w:sz w:val="24"/>
          <w:szCs w:val="24"/>
        </w:rPr>
      </w:pPr>
      <w:r>
        <w:rPr>
          <w:rFonts w:ascii="仿宋" w:eastAsia="仿宋" w:hAnsi="仿宋" w:hint="eastAsia"/>
          <w:b/>
          <w:sz w:val="24"/>
          <w:szCs w:val="24"/>
        </w:rPr>
        <w:t>（一）</w:t>
      </w:r>
      <w:r w:rsidR="009666CD" w:rsidRPr="00EE1A36">
        <w:rPr>
          <w:rFonts w:ascii="仿宋" w:eastAsia="仿宋" w:hAnsi="仿宋" w:hint="eastAsia"/>
          <w:b/>
          <w:sz w:val="24"/>
          <w:szCs w:val="24"/>
        </w:rPr>
        <w:t>人员资质与职责</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需经临床药师肿瘤专业规范化培训并通过考核后的临床药师，或从事临床药学工作5年以上的主管药师及以上职称的临床药师。</w:t>
      </w:r>
    </w:p>
    <w:p w:rsidR="009666CD" w:rsidRPr="00EE1A36" w:rsidRDefault="00FF2AC4" w:rsidP="00FF2AC4">
      <w:pPr>
        <w:ind w:firstLineChars="200" w:firstLine="482"/>
        <w:rPr>
          <w:rFonts w:ascii="仿宋" w:eastAsia="仿宋" w:hAnsi="仿宋"/>
          <w:b/>
          <w:sz w:val="24"/>
          <w:szCs w:val="24"/>
        </w:rPr>
      </w:pPr>
      <w:r>
        <w:rPr>
          <w:rFonts w:ascii="仿宋" w:eastAsia="仿宋" w:hAnsi="仿宋" w:hint="eastAsia"/>
          <w:b/>
          <w:sz w:val="24"/>
          <w:szCs w:val="24"/>
        </w:rPr>
        <w:t>（二）</w:t>
      </w:r>
      <w:r w:rsidR="009666CD" w:rsidRPr="00EE1A36">
        <w:rPr>
          <w:rFonts w:ascii="仿宋" w:eastAsia="仿宋" w:hAnsi="仿宋" w:hint="eastAsia"/>
          <w:b/>
          <w:sz w:val="24"/>
          <w:szCs w:val="24"/>
        </w:rPr>
        <w:t>出诊方式</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根据医疗机构具体情况选择药师独立门诊或可与乳腺科医生进行联合门诊的工作模式。</w:t>
      </w:r>
    </w:p>
    <w:p w:rsidR="009666CD" w:rsidRPr="00EE1A36" w:rsidRDefault="00FF2AC4" w:rsidP="00FF2AC4">
      <w:pPr>
        <w:ind w:firstLineChars="200" w:firstLine="482"/>
        <w:rPr>
          <w:rFonts w:ascii="仿宋" w:eastAsia="仿宋" w:hAnsi="仿宋"/>
          <w:b/>
          <w:sz w:val="24"/>
          <w:szCs w:val="24"/>
        </w:rPr>
      </w:pPr>
      <w:r>
        <w:rPr>
          <w:rFonts w:ascii="仿宋" w:eastAsia="仿宋" w:hAnsi="仿宋" w:hint="eastAsia"/>
          <w:b/>
          <w:sz w:val="24"/>
          <w:szCs w:val="24"/>
        </w:rPr>
        <w:t>（三）</w:t>
      </w:r>
      <w:r w:rsidR="009666CD" w:rsidRPr="00EE1A36">
        <w:rPr>
          <w:rFonts w:ascii="仿宋" w:eastAsia="仿宋" w:hAnsi="仿宋" w:hint="eastAsia"/>
          <w:b/>
          <w:sz w:val="24"/>
          <w:szCs w:val="24"/>
        </w:rPr>
        <w:t>诊间标准要求</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门诊楼设置有固定的诊间，每周设有固定的出诊时间。诊室电脑安装有门诊出诊系统、住院病历系统、药房系统，可以查询患者门诊及住院诊断、检验、检查、用药等资料。有条件的医疗机构应配备药师工作站，为患者建档管理。</w:t>
      </w:r>
    </w:p>
    <w:p w:rsidR="009666CD" w:rsidRPr="00EE1A36" w:rsidRDefault="00FF2AC4" w:rsidP="00FF2AC4">
      <w:pPr>
        <w:ind w:firstLineChars="200" w:firstLine="482"/>
        <w:rPr>
          <w:rFonts w:ascii="仿宋" w:eastAsia="仿宋" w:hAnsi="仿宋"/>
          <w:b/>
          <w:sz w:val="24"/>
          <w:szCs w:val="24"/>
        </w:rPr>
      </w:pPr>
      <w:r>
        <w:rPr>
          <w:rFonts w:ascii="仿宋" w:eastAsia="仿宋" w:hAnsi="仿宋" w:hint="eastAsia"/>
          <w:b/>
          <w:sz w:val="24"/>
          <w:szCs w:val="24"/>
        </w:rPr>
        <w:t>（四）</w:t>
      </w:r>
      <w:r w:rsidR="009666CD" w:rsidRPr="00EE1A36">
        <w:rPr>
          <w:rFonts w:ascii="仿宋" w:eastAsia="仿宋" w:hAnsi="仿宋" w:hint="eastAsia"/>
          <w:b/>
          <w:sz w:val="24"/>
          <w:szCs w:val="24"/>
        </w:rPr>
        <w:t>挂号与收费标准</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为保证药学服务工作的可持续发展，建议开设收费药学门诊，或先开设免费药学门诊最终实现收费（《关于推进药学门诊工作的通知》粤药会〔2017〕26号</w:t>
      </w:r>
      <w:r w:rsidRPr="00EE1A36">
        <w:rPr>
          <w:rFonts w:ascii="仿宋" w:eastAsia="仿宋" w:hAnsi="仿宋"/>
          <w:b/>
          <w:sz w:val="24"/>
          <w:szCs w:val="24"/>
          <w:vertAlign w:val="superscript"/>
        </w:rPr>
        <w:t>[9]</w:t>
      </w:r>
      <w:r w:rsidRPr="00EE1A36">
        <w:rPr>
          <w:rFonts w:ascii="仿宋" w:eastAsia="仿宋" w:hAnsi="仿宋" w:hint="eastAsia"/>
          <w:sz w:val="24"/>
          <w:szCs w:val="24"/>
        </w:rPr>
        <w:t>）。收费标准参考专科医师门诊收费标准。</w:t>
      </w:r>
    </w:p>
    <w:p w:rsidR="009666CD" w:rsidRPr="00EE1A36" w:rsidRDefault="009666CD" w:rsidP="006F268C">
      <w:pPr>
        <w:ind w:firstLineChars="200" w:firstLine="482"/>
        <w:rPr>
          <w:rFonts w:ascii="仿宋" w:eastAsia="仿宋" w:hAnsi="仿宋"/>
          <w:sz w:val="24"/>
          <w:szCs w:val="24"/>
        </w:rPr>
      </w:pPr>
      <w:r w:rsidRPr="00EE1A36">
        <w:rPr>
          <w:rFonts w:ascii="仿宋" w:eastAsia="仿宋" w:hAnsi="仿宋" w:hint="eastAsia"/>
          <w:b/>
          <w:sz w:val="24"/>
          <w:szCs w:val="24"/>
        </w:rPr>
        <w:t>三、乳腺癌患者药学门诊管理的工作内容及流程</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工作内容</w:t>
      </w:r>
      <w:r w:rsidRPr="00EE1A36">
        <w:rPr>
          <w:rFonts w:ascii="仿宋" w:eastAsia="仿宋" w:hAnsi="仿宋"/>
          <w:b/>
          <w:sz w:val="24"/>
          <w:szCs w:val="24"/>
          <w:vertAlign w:val="superscript"/>
        </w:rPr>
        <w:t>[10]</w:t>
      </w:r>
      <w:r w:rsidRPr="00EE1A36">
        <w:rPr>
          <w:rFonts w:ascii="仿宋" w:eastAsia="仿宋" w:hAnsi="仿宋" w:hint="eastAsia"/>
          <w:sz w:val="24"/>
          <w:szCs w:val="24"/>
        </w:rPr>
        <w:t>如下：</w:t>
      </w:r>
    </w:p>
    <w:p w:rsidR="009666CD" w:rsidRPr="00EE1A36" w:rsidRDefault="009666CD" w:rsidP="006F268C">
      <w:pPr>
        <w:ind w:left="283" w:firstLineChars="100" w:firstLine="240"/>
        <w:rPr>
          <w:rFonts w:ascii="仿宋" w:eastAsia="仿宋" w:hAnsi="仿宋"/>
          <w:sz w:val="24"/>
          <w:szCs w:val="24"/>
        </w:rPr>
      </w:pPr>
      <w:r w:rsidRPr="00EE1A36">
        <w:rPr>
          <w:rFonts w:ascii="仿宋" w:eastAsia="仿宋" w:hAnsi="仿宋" w:hint="eastAsia"/>
          <w:sz w:val="24"/>
          <w:szCs w:val="24"/>
        </w:rPr>
        <w:t>重点服务对象：</w:t>
      </w:r>
    </w:p>
    <w:p w:rsidR="009666CD" w:rsidRPr="00EE1A36" w:rsidRDefault="009666CD" w:rsidP="006F268C">
      <w:pPr>
        <w:pStyle w:val="1"/>
        <w:numPr>
          <w:ilvl w:val="0"/>
          <w:numId w:val="1"/>
        </w:numPr>
        <w:tabs>
          <w:tab w:val="left" w:pos="709"/>
        </w:tabs>
        <w:ind w:left="0" w:firstLineChars="0" w:firstLine="567"/>
        <w:rPr>
          <w:rFonts w:ascii="仿宋" w:eastAsia="仿宋" w:hAnsi="仿宋"/>
          <w:sz w:val="24"/>
          <w:szCs w:val="24"/>
        </w:rPr>
      </w:pPr>
      <w:r w:rsidRPr="00EE1A36">
        <w:rPr>
          <w:rFonts w:ascii="仿宋" w:eastAsia="仿宋" w:hAnsi="仿宋" w:hint="eastAsia"/>
          <w:sz w:val="24"/>
          <w:szCs w:val="24"/>
        </w:rPr>
        <w:t>患有一种或多种慢性病，接受多系统、多专科同时治疗的患者，如慢性肾脏病、高血压、糖尿病、高脂血症、冠心病、脑卒中等疾病的患者；</w:t>
      </w:r>
    </w:p>
    <w:p w:rsidR="009666CD" w:rsidRPr="00EE1A36" w:rsidRDefault="009666CD" w:rsidP="006F268C">
      <w:pPr>
        <w:pStyle w:val="1"/>
        <w:numPr>
          <w:ilvl w:val="0"/>
          <w:numId w:val="1"/>
        </w:numPr>
        <w:tabs>
          <w:tab w:val="left" w:pos="709"/>
        </w:tabs>
        <w:ind w:left="0" w:firstLineChars="0" w:firstLine="567"/>
        <w:rPr>
          <w:rFonts w:ascii="仿宋" w:eastAsia="仿宋" w:hAnsi="仿宋"/>
          <w:sz w:val="24"/>
          <w:szCs w:val="24"/>
        </w:rPr>
      </w:pPr>
      <w:r w:rsidRPr="00EE1A36">
        <w:rPr>
          <w:rFonts w:ascii="仿宋" w:eastAsia="仿宋" w:hAnsi="仿宋" w:hint="eastAsia"/>
          <w:sz w:val="24"/>
          <w:szCs w:val="24"/>
        </w:rPr>
        <w:t>同时服用5种及以上药物的患者；</w:t>
      </w:r>
    </w:p>
    <w:p w:rsidR="009666CD" w:rsidRPr="00EE1A36" w:rsidRDefault="009666CD" w:rsidP="006F268C">
      <w:pPr>
        <w:pStyle w:val="1"/>
        <w:numPr>
          <w:ilvl w:val="0"/>
          <w:numId w:val="1"/>
        </w:numPr>
        <w:tabs>
          <w:tab w:val="left" w:pos="709"/>
        </w:tabs>
        <w:ind w:left="0" w:firstLineChars="0" w:firstLine="567"/>
        <w:rPr>
          <w:rFonts w:ascii="仿宋" w:eastAsia="仿宋" w:hAnsi="仿宋"/>
          <w:sz w:val="24"/>
          <w:szCs w:val="24"/>
        </w:rPr>
      </w:pPr>
      <w:r w:rsidRPr="00EE1A36">
        <w:rPr>
          <w:rFonts w:ascii="仿宋" w:eastAsia="仿宋" w:hAnsi="仿宋" w:hint="eastAsia"/>
          <w:sz w:val="24"/>
          <w:szCs w:val="24"/>
        </w:rPr>
        <w:t xml:space="preserve">正在服用特殊药物的患者：包括高警示药品、糖皮质激素、特殊剂型药物、特殊给药时间药物等； </w:t>
      </w:r>
    </w:p>
    <w:p w:rsidR="009666CD" w:rsidRPr="00EE1A36" w:rsidRDefault="009666CD" w:rsidP="006F268C">
      <w:pPr>
        <w:pStyle w:val="1"/>
        <w:numPr>
          <w:ilvl w:val="0"/>
          <w:numId w:val="1"/>
        </w:numPr>
        <w:tabs>
          <w:tab w:val="left" w:pos="709"/>
        </w:tabs>
        <w:ind w:left="0" w:firstLineChars="0" w:firstLine="567"/>
        <w:rPr>
          <w:rFonts w:ascii="仿宋" w:eastAsia="仿宋" w:hAnsi="仿宋"/>
          <w:sz w:val="24"/>
          <w:szCs w:val="24"/>
        </w:rPr>
      </w:pPr>
      <w:r w:rsidRPr="00EE1A36">
        <w:rPr>
          <w:rFonts w:ascii="仿宋" w:eastAsia="仿宋" w:hAnsi="仿宋" w:hint="eastAsia"/>
          <w:sz w:val="24"/>
          <w:szCs w:val="24"/>
        </w:rPr>
        <w:t>特殊人群：老年人、妊娠期与哺乳期妇女、肝肾功能不全者等；</w:t>
      </w:r>
    </w:p>
    <w:p w:rsidR="009666CD" w:rsidRPr="00EE1A36" w:rsidRDefault="009666CD" w:rsidP="006F268C">
      <w:pPr>
        <w:pStyle w:val="1"/>
        <w:numPr>
          <w:ilvl w:val="0"/>
          <w:numId w:val="1"/>
        </w:numPr>
        <w:tabs>
          <w:tab w:val="left" w:pos="709"/>
        </w:tabs>
        <w:ind w:left="0" w:firstLineChars="0" w:firstLine="567"/>
        <w:rPr>
          <w:rFonts w:ascii="仿宋" w:eastAsia="仿宋" w:hAnsi="仿宋"/>
          <w:sz w:val="24"/>
          <w:szCs w:val="24"/>
        </w:rPr>
      </w:pPr>
      <w:r w:rsidRPr="00EE1A36">
        <w:rPr>
          <w:rFonts w:ascii="仿宋" w:eastAsia="仿宋" w:hAnsi="仿宋" w:hint="eastAsia"/>
          <w:sz w:val="24"/>
          <w:szCs w:val="24"/>
        </w:rPr>
        <w:t>怀疑发生药物不良反应的患者；</w:t>
      </w:r>
    </w:p>
    <w:p w:rsidR="009666CD" w:rsidRPr="00EE1A36" w:rsidRDefault="009666CD" w:rsidP="006F268C">
      <w:pPr>
        <w:pStyle w:val="1"/>
        <w:numPr>
          <w:ilvl w:val="0"/>
          <w:numId w:val="1"/>
        </w:numPr>
        <w:tabs>
          <w:tab w:val="left" w:pos="709"/>
        </w:tabs>
        <w:ind w:left="0" w:firstLineChars="0" w:firstLine="567"/>
        <w:rPr>
          <w:rFonts w:ascii="仿宋" w:eastAsia="仿宋" w:hAnsi="仿宋"/>
          <w:sz w:val="24"/>
          <w:szCs w:val="24"/>
        </w:rPr>
      </w:pPr>
      <w:r w:rsidRPr="00EE1A36">
        <w:rPr>
          <w:rFonts w:ascii="仿宋" w:eastAsia="仿宋" w:hAnsi="仿宋" w:hint="eastAsia"/>
          <w:sz w:val="24"/>
          <w:szCs w:val="24"/>
        </w:rPr>
        <w:t>需要药师解读治疗药物监测（如血药浓度和药物基因检测）报告的患者。</w:t>
      </w:r>
    </w:p>
    <w:p w:rsidR="009666CD" w:rsidRPr="00EE1A36" w:rsidRDefault="009666CD" w:rsidP="006F268C">
      <w:pPr>
        <w:ind w:left="283"/>
        <w:rPr>
          <w:rFonts w:ascii="仿宋" w:eastAsia="仿宋" w:hAnsi="仿宋"/>
          <w:b/>
          <w:sz w:val="24"/>
          <w:szCs w:val="24"/>
        </w:rPr>
      </w:pPr>
      <w:r w:rsidRPr="00EE1A36">
        <w:rPr>
          <w:rFonts w:ascii="仿宋" w:eastAsia="仿宋" w:hAnsi="仿宋" w:hint="eastAsia"/>
          <w:b/>
          <w:sz w:val="24"/>
          <w:szCs w:val="24"/>
        </w:rPr>
        <w:t>（一）建档与问诊</w:t>
      </w:r>
    </w:p>
    <w:p w:rsidR="009666CD" w:rsidRPr="00EE1A36" w:rsidRDefault="00A45497" w:rsidP="006F268C">
      <w:pPr>
        <w:rPr>
          <w:rFonts w:ascii="仿宋" w:eastAsia="仿宋" w:hAnsi="仿宋"/>
          <w:sz w:val="24"/>
          <w:szCs w:val="24"/>
        </w:rPr>
      </w:pPr>
      <w:r w:rsidRPr="00EE1A36">
        <w:rPr>
          <w:rFonts w:ascii="仿宋" w:eastAsia="仿宋" w:hAnsi="仿宋" w:hint="eastAsia"/>
          <w:sz w:val="24"/>
          <w:szCs w:val="24"/>
        </w:rPr>
        <w:t xml:space="preserve">    </w:t>
      </w:r>
      <w:r w:rsidR="009666CD" w:rsidRPr="00EE1A36">
        <w:rPr>
          <w:rFonts w:ascii="仿宋" w:eastAsia="仿宋" w:hAnsi="仿宋" w:hint="eastAsia"/>
          <w:sz w:val="24"/>
          <w:szCs w:val="24"/>
        </w:rPr>
        <w:t>与乳腺科医生商议，在患者计划开始内分泌治疗之时就诊药学门诊。首次就诊的患者，为患者建档并进行详细问诊，收集患者基本信息包括：现病史、既往史、家族史、个人史、用药史、过敏史、药物不良反应史、用药依从性、免疫接种史、辅助检查结果等</w:t>
      </w:r>
      <w:r w:rsidR="009666CD" w:rsidRPr="00EE1A36">
        <w:rPr>
          <w:rFonts w:ascii="仿宋" w:eastAsia="仿宋" w:hAnsi="仿宋"/>
          <w:sz w:val="24"/>
          <w:szCs w:val="24"/>
        </w:rPr>
        <w:t>。</w:t>
      </w:r>
      <w:r w:rsidR="009666CD" w:rsidRPr="00EE1A36">
        <w:rPr>
          <w:rFonts w:ascii="仿宋" w:eastAsia="仿宋" w:hAnsi="仿宋" w:hint="eastAsia"/>
          <w:sz w:val="24"/>
          <w:szCs w:val="24"/>
        </w:rPr>
        <w:t>记录</w:t>
      </w:r>
      <w:r w:rsidR="009666CD" w:rsidRPr="00EE1A36">
        <w:rPr>
          <w:rFonts w:ascii="仿宋" w:eastAsia="仿宋" w:hAnsi="仿宋"/>
          <w:sz w:val="24"/>
          <w:szCs w:val="24"/>
        </w:rPr>
        <w:t>相关</w:t>
      </w:r>
      <w:r w:rsidR="009666CD" w:rsidRPr="00EE1A36">
        <w:rPr>
          <w:rFonts w:ascii="仿宋" w:eastAsia="仿宋" w:hAnsi="仿宋" w:hint="eastAsia"/>
          <w:sz w:val="24"/>
          <w:szCs w:val="24"/>
        </w:rPr>
        <w:t>表格、患者关切的问题、特殊需求、联系方式等。</w:t>
      </w:r>
      <w:r w:rsidR="009666CD" w:rsidRPr="00EE1A36">
        <w:rPr>
          <w:rFonts w:ascii="仿宋" w:eastAsia="仿宋" w:hAnsi="仿宋"/>
          <w:sz w:val="24"/>
          <w:szCs w:val="24"/>
        </w:rPr>
        <w:t>对于</w:t>
      </w:r>
      <w:r w:rsidR="009666CD" w:rsidRPr="00EE1A36">
        <w:rPr>
          <w:rFonts w:ascii="仿宋" w:eastAsia="仿宋" w:hAnsi="仿宋" w:hint="eastAsia"/>
          <w:sz w:val="24"/>
          <w:szCs w:val="24"/>
        </w:rPr>
        <w:t>复诊</w:t>
      </w:r>
      <w:r w:rsidR="009666CD" w:rsidRPr="00EE1A36">
        <w:rPr>
          <w:rFonts w:ascii="仿宋" w:eastAsia="仿宋" w:hAnsi="仿宋"/>
          <w:sz w:val="24"/>
          <w:szCs w:val="24"/>
        </w:rPr>
        <w:t>的</w:t>
      </w:r>
      <w:r w:rsidR="009666CD" w:rsidRPr="00EE1A36">
        <w:rPr>
          <w:rFonts w:ascii="仿宋" w:eastAsia="仿宋" w:hAnsi="仿宋" w:hint="eastAsia"/>
          <w:sz w:val="24"/>
          <w:szCs w:val="24"/>
        </w:rPr>
        <w:t>患者，调出患者信息档案，对有变化</w:t>
      </w:r>
      <w:r w:rsidR="009666CD" w:rsidRPr="00EE1A36">
        <w:rPr>
          <w:rFonts w:ascii="仿宋" w:eastAsia="仿宋" w:hAnsi="仿宋"/>
          <w:sz w:val="24"/>
          <w:szCs w:val="24"/>
        </w:rPr>
        <w:t>的</w:t>
      </w:r>
      <w:r w:rsidR="009666CD" w:rsidRPr="00EE1A36">
        <w:rPr>
          <w:rFonts w:ascii="仿宋" w:eastAsia="仿宋" w:hAnsi="仿宋" w:hint="eastAsia"/>
          <w:sz w:val="24"/>
          <w:szCs w:val="24"/>
        </w:rPr>
        <w:t>信息进行记录并存档。</w:t>
      </w:r>
    </w:p>
    <w:p w:rsidR="009666CD" w:rsidRPr="00EE1A36" w:rsidRDefault="009666CD" w:rsidP="006F268C">
      <w:pPr>
        <w:ind w:left="283"/>
        <w:rPr>
          <w:rFonts w:ascii="仿宋" w:eastAsia="仿宋" w:hAnsi="仿宋"/>
          <w:b/>
          <w:sz w:val="24"/>
          <w:szCs w:val="24"/>
        </w:rPr>
      </w:pPr>
      <w:r w:rsidRPr="00EE1A36">
        <w:rPr>
          <w:rFonts w:ascii="仿宋" w:eastAsia="仿宋" w:hAnsi="仿宋"/>
          <w:b/>
          <w:noProof/>
          <w:sz w:val="24"/>
          <w:szCs w:val="24"/>
        </w:rPr>
        <w:lastRenderedPageBreak/>
        <w:drawing>
          <wp:inline distT="0" distB="0" distL="0" distR="0">
            <wp:extent cx="4950460" cy="2499360"/>
            <wp:effectExtent l="19050" t="0" r="2486" b="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954590" cy="2501667"/>
                    </a:xfrm>
                    <a:prstGeom prst="rect">
                      <a:avLst/>
                    </a:prstGeom>
                    <a:noFill/>
                    <a:ln>
                      <a:noFill/>
                    </a:ln>
                  </pic:spPr>
                </pic:pic>
              </a:graphicData>
            </a:graphic>
          </wp:inline>
        </w:drawing>
      </w:r>
    </w:p>
    <w:p w:rsidR="009666CD" w:rsidRPr="00EE1A36" w:rsidRDefault="009666CD" w:rsidP="006F268C">
      <w:pPr>
        <w:pStyle w:val="1"/>
        <w:ind w:leftChars="-135" w:hangingChars="118" w:hanging="283"/>
        <w:jc w:val="center"/>
        <w:rPr>
          <w:rFonts w:ascii="仿宋" w:eastAsia="仿宋" w:hAnsi="仿宋"/>
          <w:sz w:val="24"/>
          <w:szCs w:val="24"/>
        </w:rPr>
      </w:pPr>
      <w:r w:rsidRPr="00EE1A36">
        <w:rPr>
          <w:rFonts w:ascii="仿宋" w:eastAsia="仿宋" w:hAnsi="仿宋" w:hint="eastAsia"/>
          <w:sz w:val="24"/>
          <w:szCs w:val="24"/>
        </w:rPr>
        <w:t>工作流程图</w:t>
      </w:r>
    </w:p>
    <w:p w:rsidR="009666CD" w:rsidRPr="00EE1A36" w:rsidRDefault="009666CD" w:rsidP="006F268C">
      <w:pPr>
        <w:ind w:left="283"/>
        <w:rPr>
          <w:rFonts w:ascii="仿宋" w:eastAsia="仿宋" w:hAnsi="仿宋"/>
          <w:b/>
          <w:sz w:val="24"/>
          <w:szCs w:val="24"/>
        </w:rPr>
      </w:pPr>
      <w:r w:rsidRPr="00EE1A36">
        <w:rPr>
          <w:rFonts w:ascii="仿宋" w:eastAsia="仿宋" w:hAnsi="仿宋" w:hint="eastAsia"/>
          <w:b/>
          <w:sz w:val="24"/>
          <w:szCs w:val="24"/>
        </w:rPr>
        <w:t>（二）药学评估</w:t>
      </w:r>
    </w:p>
    <w:p w:rsidR="009666CD" w:rsidRPr="00EE1A36" w:rsidRDefault="009666CD" w:rsidP="006F268C">
      <w:pPr>
        <w:ind w:left="420"/>
        <w:rPr>
          <w:rFonts w:ascii="仿宋" w:eastAsia="仿宋" w:hAnsi="仿宋"/>
          <w:sz w:val="24"/>
          <w:szCs w:val="24"/>
        </w:rPr>
      </w:pPr>
      <w:r w:rsidRPr="00EE1A36">
        <w:rPr>
          <w:rFonts w:ascii="仿宋" w:eastAsia="仿宋" w:hAnsi="仿宋" w:hint="eastAsia"/>
          <w:sz w:val="24"/>
          <w:szCs w:val="24"/>
        </w:rPr>
        <w:t>1、药物治疗评估</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从适应证、有效性、安全性、依从性等方面进行析，用药分析时基于循证证据但不局限于证据进行综合分析。重点关注患者的治疗需求，结合患者个体情况、所患疾病、所用药物提出个体化建议。通过问诊及查询患者病历资料，了解整体药物治疗方案，包含内分泌治疗方案、其他伴发慢性基础疾病或和治疗相关的副作用处置方案并进行评估。评估内容包括：患者对疾病和用药的认知度；使用Morisky用药依从性问卷评估患者用药依从性；评估当前治疗方案有效性和安全性；评估患者是否存在药物治疗相关问题。对于复诊患者，根据患者疾病和药物使用变化情况，重新评估药物相关问题。</w:t>
      </w:r>
    </w:p>
    <w:p w:rsidR="009666CD" w:rsidRPr="00EE1A36" w:rsidRDefault="009666CD" w:rsidP="006F268C">
      <w:pPr>
        <w:ind w:left="420"/>
        <w:rPr>
          <w:rFonts w:ascii="仿宋" w:eastAsia="仿宋" w:hAnsi="仿宋"/>
          <w:sz w:val="24"/>
          <w:szCs w:val="24"/>
        </w:rPr>
      </w:pPr>
      <w:r w:rsidRPr="00EE1A36">
        <w:rPr>
          <w:rFonts w:ascii="仿宋" w:eastAsia="仿宋" w:hAnsi="仿宋" w:hint="eastAsia"/>
          <w:sz w:val="24"/>
          <w:szCs w:val="24"/>
        </w:rPr>
        <w:t>2、并发症风险评估</w:t>
      </w:r>
      <w:r w:rsidRPr="00EE1A36">
        <w:rPr>
          <w:rFonts w:ascii="仿宋" w:eastAsia="仿宋" w:hAnsi="仿宋" w:hint="eastAsia"/>
          <w:sz w:val="24"/>
          <w:szCs w:val="24"/>
          <w:vertAlign w:val="superscript"/>
        </w:rPr>
        <w:t>[</w:t>
      </w:r>
      <w:r w:rsidRPr="00EE1A36">
        <w:rPr>
          <w:rFonts w:ascii="仿宋" w:eastAsia="仿宋" w:hAnsi="仿宋"/>
          <w:sz w:val="24"/>
          <w:szCs w:val="24"/>
          <w:vertAlign w:val="superscript"/>
        </w:rPr>
        <w:t>1</w:t>
      </w:r>
      <w:r w:rsidRPr="00EE1A36">
        <w:rPr>
          <w:rFonts w:ascii="仿宋" w:eastAsia="仿宋" w:hAnsi="仿宋" w:hint="eastAsia"/>
          <w:sz w:val="24"/>
          <w:szCs w:val="24"/>
          <w:vertAlign w:val="superscript"/>
        </w:rPr>
        <w:t>]</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血脂异常：</w:t>
      </w:r>
      <w:r w:rsidRPr="00EE1A36">
        <w:rPr>
          <w:rFonts w:ascii="仿宋" w:eastAsia="仿宋" w:hAnsi="仿宋"/>
          <w:sz w:val="24"/>
          <w:szCs w:val="24"/>
        </w:rPr>
        <w:t>乳腺癌</w:t>
      </w:r>
      <w:r w:rsidRPr="00EE1A36">
        <w:rPr>
          <w:rFonts w:ascii="仿宋" w:eastAsia="仿宋" w:hAnsi="仿宋" w:hint="eastAsia"/>
          <w:sz w:val="24"/>
          <w:szCs w:val="24"/>
        </w:rPr>
        <w:t>接受内分泌药物（如他莫昔芬或第三代芳香化酶抑制剂等）治疗的患者，应当评估血脂（胆固醇、甘油三酯、低密度脂蛋白等）情况判断是否存在血脂异常，并结合临床病史和（或）危险因素决定是否开始调脂药物治疗。</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骨折事件风险评估：</w:t>
      </w:r>
      <w:r w:rsidRPr="00EE1A36">
        <w:rPr>
          <w:rFonts w:ascii="仿宋" w:eastAsia="仿宋" w:hAnsi="仿宋"/>
          <w:sz w:val="24"/>
          <w:szCs w:val="24"/>
        </w:rPr>
        <w:t>乳腺癌患者接受AI或化疗等治疗时，骨量丢失加重，骨折风险增加。应依据BMD检测和脆性骨质对骨质疏松风险进行评估。</w:t>
      </w:r>
      <w:r w:rsidRPr="00EE1A36">
        <w:rPr>
          <w:rFonts w:ascii="仿宋" w:eastAsia="仿宋" w:hAnsi="仿宋" w:hint="eastAsia"/>
          <w:sz w:val="24"/>
          <w:szCs w:val="24"/>
        </w:rPr>
        <w:t>，以判定骨折风险属低危、中危或高危。骨折风险评估为中高危患者，除需改善生活方式外，还应及时给予适当的药物（补充钙剂、维生素D及使用双膦酸盐制剂等），并密切监测骨密度。</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3、内分泌药物耐受性及用药注意事项</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sz w:val="24"/>
          <w:szCs w:val="24"/>
        </w:rPr>
        <w:t>他莫昔芬（</w:t>
      </w:r>
      <w:r w:rsidRPr="00EE1A36">
        <w:rPr>
          <w:rFonts w:ascii="仿宋" w:eastAsia="仿宋" w:hAnsi="仿宋" w:hint="eastAsia"/>
          <w:sz w:val="24"/>
          <w:szCs w:val="24"/>
        </w:rPr>
        <w:t>TAM</w:t>
      </w:r>
      <w:r w:rsidRPr="00EE1A36">
        <w:rPr>
          <w:rFonts w:ascii="仿宋" w:eastAsia="仿宋" w:hAnsi="仿宋"/>
          <w:sz w:val="24"/>
          <w:szCs w:val="24"/>
        </w:rPr>
        <w:t>）</w:t>
      </w:r>
      <w:r w:rsidRPr="00EE1A36">
        <w:rPr>
          <w:rFonts w:ascii="仿宋" w:eastAsia="仿宋" w:hAnsi="仿宋" w:hint="eastAsia"/>
          <w:sz w:val="24"/>
          <w:szCs w:val="24"/>
        </w:rPr>
        <w:t>用药注意亊项：</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(1)TAM较严重的不良反应包括静脉血栓形成、子宫内膜癌。用药时间长、绝经后状态、阴道不规则出血者发生内膜病变的风险增加。</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(2)使用TAM期间应每12个月进行1次妇科检査.有上述危险因</w:t>
      </w:r>
      <w:r w:rsidRPr="00EE1A36">
        <w:rPr>
          <w:rFonts w:ascii="仿宋" w:eastAsia="仿宋" w:hAnsi="仿宋"/>
          <w:sz w:val="24"/>
          <w:szCs w:val="24"/>
        </w:rPr>
        <w:t>素</w:t>
      </w:r>
      <w:r w:rsidRPr="00EE1A36">
        <w:rPr>
          <w:rFonts w:ascii="仿宋" w:eastAsia="仿宋" w:hAnsi="仿宋" w:hint="eastAsia"/>
          <w:sz w:val="24"/>
          <w:szCs w:val="24"/>
        </w:rPr>
        <w:t>可酌情增加监测频率。</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sz w:val="24"/>
          <w:szCs w:val="24"/>
        </w:rPr>
        <w:t>(3)</w:t>
      </w:r>
      <w:r w:rsidRPr="00EE1A36">
        <w:rPr>
          <w:rFonts w:ascii="仿宋" w:eastAsia="仿宋" w:hAnsi="仿宋" w:hint="eastAsia"/>
          <w:sz w:val="24"/>
          <w:szCs w:val="24"/>
        </w:rPr>
        <w:t>绝经后患者子宫内膜增厚（厚度</w:t>
      </w:r>
      <w:r w:rsidRPr="00EE1A36">
        <w:rPr>
          <w:rFonts w:ascii="仿宋" w:eastAsia="仿宋" w:hAnsi="仿宋"/>
          <w:sz w:val="24"/>
          <w:szCs w:val="24"/>
        </w:rPr>
        <w:t>&gt;8mm)</w:t>
      </w:r>
      <w:r w:rsidRPr="00EE1A36">
        <w:rPr>
          <w:rFonts w:ascii="仿宋" w:eastAsia="仿宋" w:hAnsi="仿宋" w:hint="eastAsia"/>
          <w:sz w:val="24"/>
          <w:szCs w:val="24"/>
        </w:rPr>
        <w:t>建议行子宫内膜活检。子宫内膜厚度为</w:t>
      </w:r>
      <w:r w:rsidRPr="00EE1A36">
        <w:rPr>
          <w:rFonts w:ascii="仿宋" w:eastAsia="仿宋" w:hAnsi="仿宋"/>
          <w:sz w:val="24"/>
          <w:szCs w:val="24"/>
        </w:rPr>
        <w:t>5</w:t>
      </w:r>
      <w:r w:rsidRPr="00EE1A36">
        <w:rPr>
          <w:rFonts w:ascii="仿宋" w:eastAsia="微软雅黑" w:hAnsi="微软雅黑" w:cs="微软雅黑" w:hint="eastAsia"/>
          <w:sz w:val="24"/>
          <w:szCs w:val="24"/>
        </w:rPr>
        <w:t>〜</w:t>
      </w:r>
      <w:r w:rsidRPr="00EE1A36">
        <w:rPr>
          <w:rFonts w:ascii="仿宋" w:eastAsia="仿宋" w:hAnsi="仿宋"/>
          <w:sz w:val="24"/>
          <w:szCs w:val="24"/>
        </w:rPr>
        <w:t>8mm</w:t>
      </w:r>
      <w:r w:rsidRPr="00EE1A36">
        <w:rPr>
          <w:rFonts w:ascii="仿宋" w:eastAsia="仿宋" w:hAnsi="仿宋" w:hint="eastAsia"/>
          <w:sz w:val="24"/>
          <w:szCs w:val="24"/>
        </w:rPr>
        <w:t>时，综合临床情况决定是否活检；绝经前患者内膜厚度不是决定活检的指征。</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AI药注意亊项：</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(1) 长期服用AI可能异致骨质疏松、关节疼痛等不良反应。</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(2) 用药开始前（基线时）及用药期间应常规迸行骨密度监测</w:t>
      </w:r>
      <w:r w:rsidRPr="00EE1A36">
        <w:rPr>
          <w:rFonts w:ascii="仿宋" w:eastAsia="仿宋" w:hAnsi="仿宋"/>
          <w:sz w:val="24"/>
          <w:szCs w:val="24"/>
        </w:rPr>
        <w:t>。</w:t>
      </w:r>
      <w:r w:rsidRPr="00EE1A36">
        <w:rPr>
          <w:rFonts w:ascii="仿宋" w:eastAsia="仿宋" w:hAnsi="仿宋" w:hint="eastAsia"/>
          <w:sz w:val="24"/>
          <w:szCs w:val="24"/>
        </w:rPr>
        <w:t>推荐每6个月进行1次，最长间隔不超过1年。进行T（T-scorc</w:t>
      </w:r>
      <w:r w:rsidRPr="00EE1A36">
        <w:rPr>
          <w:rFonts w:ascii="仿宋" w:eastAsia="仿宋" w:hAnsi="仿宋"/>
          <w:sz w:val="24"/>
          <w:szCs w:val="24"/>
        </w:rPr>
        <w:t>）</w:t>
      </w:r>
      <w:r w:rsidRPr="00EE1A36">
        <w:rPr>
          <w:rFonts w:ascii="仿宋" w:eastAsia="仿宋" w:hAnsi="仿宋" w:hint="eastAsia"/>
          <w:sz w:val="24"/>
          <w:szCs w:val="24"/>
        </w:rPr>
        <w:t>评分，T</w:t>
      </w:r>
      <w:r w:rsidRPr="00EE1A36">
        <w:rPr>
          <w:rFonts w:ascii="仿宋" w:eastAsia="仿宋" w:hAnsi="仿宋"/>
          <w:sz w:val="24"/>
          <w:szCs w:val="24"/>
        </w:rPr>
        <w:t>值</w:t>
      </w:r>
      <w:r w:rsidRPr="00EE1A36">
        <w:rPr>
          <w:rFonts w:ascii="仿宋" w:eastAsia="仿宋" w:hAnsi="仿宋" w:cs="Arial"/>
          <w:sz w:val="24"/>
          <w:szCs w:val="24"/>
        </w:rPr>
        <w:t>≤</w:t>
      </w:r>
      <w:r w:rsidRPr="00EE1A36">
        <w:rPr>
          <w:rFonts w:ascii="仿宋" w:eastAsia="仿宋" w:hAnsi="仿宋" w:hint="eastAsia"/>
          <w:sz w:val="24"/>
          <w:szCs w:val="24"/>
        </w:rPr>
        <w:t>-2.5为骨质疏松，应开始</w:t>
      </w:r>
      <w:r w:rsidRPr="00EE1A36">
        <w:rPr>
          <w:rFonts w:ascii="仿宋" w:eastAsia="仿宋" w:hAnsi="仿宋" w:hint="eastAsia"/>
          <w:sz w:val="24"/>
          <w:szCs w:val="24"/>
        </w:rPr>
        <w:lastRenderedPageBreak/>
        <w:t>使用双磷酸盐治疗</w:t>
      </w:r>
      <w:r w:rsidRPr="00EE1A36">
        <w:rPr>
          <w:rFonts w:ascii="仿宋" w:eastAsia="仿宋" w:hAnsi="仿宋"/>
          <w:sz w:val="24"/>
          <w:szCs w:val="24"/>
        </w:rPr>
        <w:t>；T值-2.5 ~-1.0</w:t>
      </w:r>
      <w:r w:rsidRPr="00EE1A36">
        <w:rPr>
          <w:rFonts w:ascii="仿宋" w:eastAsia="仿宋" w:hAnsi="仿宋" w:hint="eastAsia"/>
          <w:sz w:val="24"/>
          <w:szCs w:val="24"/>
        </w:rPr>
        <w:t>为骨量减低，绐予维生素D和钙片治疗，并考虑使用双磷酸盐；T</w:t>
      </w:r>
      <w:r w:rsidRPr="00EE1A36">
        <w:rPr>
          <w:rFonts w:ascii="仿宋" w:eastAsia="仿宋" w:hAnsi="仿宋"/>
          <w:sz w:val="24"/>
          <w:szCs w:val="24"/>
        </w:rPr>
        <w:t>值</w:t>
      </w:r>
      <w:r w:rsidRPr="00EE1A36">
        <w:rPr>
          <w:rFonts w:ascii="仿宋" w:eastAsia="仿宋" w:hAnsi="仿宋" w:hint="eastAsia"/>
          <w:sz w:val="24"/>
          <w:szCs w:val="24"/>
        </w:rPr>
        <w:t>&gt;-1.0为骨量正常，不推荐使用双磷酸盐。双磷酸盐可每3-6个月使用1次.治疗开始前应进行口腔科检查。</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(3)乳腺癌患者可能因生理或使用药物因素出现卵巢功能下降.而引起绝经相关症状、泌尿生殖道症状以及低骨量及骨质疏松症。</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乳腺癌是激素替代治疗（</w:t>
      </w:r>
      <w:r w:rsidRPr="00EE1A36">
        <w:rPr>
          <w:rFonts w:ascii="仿宋" w:eastAsia="仿宋" w:hAnsi="仿宋"/>
          <w:sz w:val="24"/>
          <w:szCs w:val="24"/>
        </w:rPr>
        <w:t>HRT)</w:t>
      </w:r>
      <w:r w:rsidRPr="00EE1A36">
        <w:rPr>
          <w:rFonts w:ascii="仿宋" w:eastAsia="仿宋" w:hAnsi="仿宋" w:hint="eastAsia"/>
          <w:sz w:val="24"/>
          <w:szCs w:val="24"/>
        </w:rPr>
        <w:t>的禁忌证，为改善症状，可选择其他非激素制剂来治疗绝经症状，包括植物类药物（黑升麻异丙醇萃取物）、植物雌激素、中药或选择性</w:t>
      </w:r>
      <w:r w:rsidRPr="00EE1A36">
        <w:rPr>
          <w:rFonts w:ascii="仿宋" w:eastAsia="仿宋" w:hAnsi="仿宋"/>
          <w:sz w:val="24"/>
          <w:szCs w:val="24"/>
        </w:rPr>
        <w:t>5-</w:t>
      </w:r>
      <w:r w:rsidRPr="00EE1A36">
        <w:rPr>
          <w:rFonts w:ascii="仿宋" w:eastAsia="仿宋" w:hAnsi="仿宋" w:hint="eastAsia"/>
          <w:sz w:val="24"/>
          <w:szCs w:val="24"/>
        </w:rPr>
        <w:t>羟色胺再摄取抑制剂等。</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局部泌尿生殖道症状首选非激素方法治疗，使用阴道雌激素需充分评估获益及风险。</w:t>
      </w:r>
    </w:p>
    <w:p w:rsidR="009666CD" w:rsidRPr="00EE1A36" w:rsidRDefault="009666CD" w:rsidP="006F268C">
      <w:pPr>
        <w:ind w:left="283"/>
        <w:rPr>
          <w:rFonts w:ascii="仿宋" w:eastAsia="仿宋" w:hAnsi="仿宋"/>
          <w:b/>
          <w:sz w:val="24"/>
          <w:szCs w:val="24"/>
        </w:rPr>
      </w:pPr>
      <w:r w:rsidRPr="00EE1A36">
        <w:rPr>
          <w:rFonts w:ascii="仿宋" w:eastAsia="仿宋" w:hAnsi="仿宋" w:hint="eastAsia"/>
          <w:b/>
          <w:sz w:val="24"/>
          <w:szCs w:val="24"/>
        </w:rPr>
        <w:t>（三）药学干预</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对患者开展药学监护，监护内容包括药物适应症、禁忌症，药物用法用量等，保证用药合理性和安全性。针对药物治疗相关问题，进行适当干预，如处方精简、药物重整，必要时与患者的主诊医师沟通。</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为患者制作治疗日程表。可使用纸质版日历或电子版、手机版日历（电子版、手机版日历可设置提醒日程功能），标注患者使用曲普瑞林、唑来膦酸等需间隔一定时间段注射的药物的日期，及定期复查和随访的日期，并叮嘱患者每次复查和随访时携带。</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制作个人药物记录表，方便患者居家用药管理、就医时向其他医务人员提供用药信息。</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对患者进行个体化的用药教育，例如，针对患者使用的内分泌治疗药物品种，详细说明该药可能发生的不良反应以及应对措施以及生活方式调整建议和饮食教育，发放相关的宣教材料。教会患者在家中正确进行用药自我管理（尤其是依从性评估得分低的患者），比如借助药盒，或设置服药闹钟；同时交待患者漏服药物后的应对方法。</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优化服药时间表，制作用药清单。清单包含所有使用的药品，包括处方药，非处方药，中药品，和膳食补充剂。</w:t>
      </w:r>
    </w:p>
    <w:p w:rsidR="009666CD" w:rsidRPr="00EE1A36" w:rsidRDefault="009666CD" w:rsidP="006F268C">
      <w:pPr>
        <w:ind w:firstLineChars="200" w:firstLine="480"/>
        <w:rPr>
          <w:rFonts w:ascii="仿宋" w:eastAsia="仿宋" w:hAnsi="仿宋"/>
          <w:b/>
          <w:sz w:val="24"/>
          <w:szCs w:val="24"/>
        </w:rPr>
      </w:pPr>
      <w:r w:rsidRPr="00EE1A36">
        <w:rPr>
          <w:rFonts w:ascii="仿宋" w:eastAsia="仿宋" w:hAnsi="仿宋" w:hint="eastAsia"/>
          <w:sz w:val="24"/>
          <w:szCs w:val="24"/>
        </w:rPr>
        <w:t>用药教育后需要核实患者对药师建议的理解和接受程度，同时需要完成满意度调查。</w:t>
      </w:r>
    </w:p>
    <w:p w:rsidR="009666CD" w:rsidRPr="00EE1A36" w:rsidRDefault="009666CD" w:rsidP="006F268C">
      <w:pPr>
        <w:ind w:left="283"/>
        <w:rPr>
          <w:rFonts w:ascii="仿宋" w:eastAsia="仿宋" w:hAnsi="仿宋"/>
          <w:b/>
          <w:sz w:val="24"/>
          <w:szCs w:val="24"/>
        </w:rPr>
      </w:pPr>
      <w:r w:rsidRPr="00EE1A36">
        <w:rPr>
          <w:rFonts w:ascii="仿宋" w:eastAsia="仿宋" w:hAnsi="仿宋" w:hint="eastAsia"/>
          <w:b/>
          <w:sz w:val="24"/>
          <w:szCs w:val="24"/>
        </w:rPr>
        <w:t>（四）患者教育及生活指导</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1、随访计划：根据患者病情特点、用药问题确定分类管理水平，同时考虑患者需求、心理及家庭等因素，制定个体化的随访计划，保证患者在内分泌治疗期间获得连续关注及监护。可应用信息化手段进行随访管理，微信、电话、短信、家访及手机APP等。建议构建网络随访平台，结合（微信、电话、短信、家访及手机APP）等可以进行回顾性的分析和跟踪。</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2、康复治疗：康复治疗的定义 康复包括生理功能的恢复、心理状态的调整及社会活动能力的恢复。乳腺癌的康复治疗就是在乳腺癌正规治疗同时或结束后，帮助患者恢复机体生理功能、调整心理状态，并且能够回归社会，重建被疾病破坏了的生活。</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3、术后康复治疗的内容</w:t>
      </w:r>
    </w:p>
    <w:p w:rsidR="009666CD" w:rsidRPr="00EE1A36" w:rsidRDefault="009666CD" w:rsidP="006F268C">
      <w:pPr>
        <w:rPr>
          <w:rFonts w:ascii="仿宋" w:eastAsia="仿宋" w:hAnsi="仿宋"/>
          <w:sz w:val="24"/>
          <w:szCs w:val="24"/>
        </w:rPr>
      </w:pPr>
      <w:r w:rsidRPr="00EE1A36">
        <w:rPr>
          <w:rFonts w:ascii="仿宋" w:eastAsia="仿宋" w:hAnsi="仿宋" w:hint="eastAsia"/>
          <w:sz w:val="24"/>
          <w:szCs w:val="24"/>
        </w:rPr>
        <w:t xml:space="preserve">   患侧肢体功能的康复：循序渐进的患侧上肢功能锻炼。功能锻炼对于恢复患者肩关节功能和预防及减轻水肿至关重要，但必须严格遵守循序渐进的顺序，不可随意提前，以免影响伤口的愈合。</w:t>
      </w:r>
    </w:p>
    <w:p w:rsidR="009666CD" w:rsidRPr="00EE1A36" w:rsidRDefault="009666CD" w:rsidP="006F268C">
      <w:pPr>
        <w:rPr>
          <w:rFonts w:ascii="仿宋" w:eastAsia="仿宋" w:hAnsi="仿宋"/>
          <w:sz w:val="24"/>
          <w:szCs w:val="24"/>
        </w:rPr>
      </w:pPr>
      <w:r w:rsidRPr="00EE1A36">
        <w:rPr>
          <w:rFonts w:ascii="仿宋" w:eastAsia="仿宋" w:hAnsi="仿宋" w:hint="eastAsia"/>
          <w:sz w:val="24"/>
          <w:szCs w:val="24"/>
        </w:rPr>
        <w:t xml:space="preserve">    循序渐进方法：①术后1～2d，练习握拳、伸指、屈腕；②术后3～4d，前臂伸屈运动；③术后5～7d，患侧的手摸对侧肩、同侧耳（可用健肢托患肢）；④术后8～10d，练习肩关节抬高、伸直、屈曲至90°；⑤术后10d后，肩关节进行爬墙及器械锻炼，一般应在1～2个月内使患侧肩关节功能达到术前或对侧同样的状态。功能锻炼的达标要求是：2周内患侧上臂能伸直、抬高绕过头顶摸到对侧耳朵。达标后仍需继续进行功能锻炼。术后7d内限制肩关节外展。严重皮瓣坏死者，术后2周内避免大幅度运动。皮</w:t>
      </w:r>
      <w:r w:rsidRPr="00EE1A36">
        <w:rPr>
          <w:rFonts w:ascii="仿宋" w:eastAsia="仿宋" w:hAnsi="仿宋" w:hint="eastAsia"/>
          <w:sz w:val="24"/>
          <w:szCs w:val="24"/>
        </w:rPr>
        <w:lastRenderedPageBreak/>
        <w:t>下积液或术后1周引流液超过50mL时应减少练习次数及肩关节活动幅度（限制外展）。植皮及行背阔肌皮瓣乳房重建术后要推迟肩关节运动。</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预防或减轻上肢淋巴水肿：一般认定患侧上肢周径比对侧上肢周径长小于3cm为轻度水肿，3～5cm为中度水肿，大于5cm为重度水肿。</w:t>
      </w:r>
    </w:p>
    <w:p w:rsidR="009666CD" w:rsidRPr="00EE1A36" w:rsidRDefault="009666CD" w:rsidP="006F268C">
      <w:pPr>
        <w:ind w:firstLineChars="200" w:firstLine="480"/>
        <w:rPr>
          <w:rFonts w:ascii="仿宋" w:eastAsia="仿宋" w:hAnsi="仿宋"/>
          <w:sz w:val="24"/>
          <w:szCs w:val="24"/>
        </w:rPr>
      </w:pPr>
      <w:r w:rsidRPr="00EE1A36">
        <w:rPr>
          <w:rFonts w:ascii="仿宋" w:eastAsia="仿宋" w:hAnsi="仿宋" w:hint="eastAsia"/>
          <w:sz w:val="24"/>
          <w:szCs w:val="24"/>
        </w:rPr>
        <w:t>预防或减轻水肿的具体办法：⑴预防感染：保持患侧皮肤清洁；不宜在患肢手臂进行有创性的操作，例如抽血、输液等；洗涤时戴宽松手套，避免长时间接触有刺激性的洗涤液；避免蚊虫叮咬；衣着、佩戴首饰或手表时一定要宽松。</w:t>
      </w:r>
    </w:p>
    <w:p w:rsidR="009666CD" w:rsidRPr="00EE1A36" w:rsidRDefault="009666CD" w:rsidP="006F268C">
      <w:pPr>
        <w:rPr>
          <w:rFonts w:ascii="仿宋" w:eastAsia="仿宋" w:hAnsi="仿宋"/>
          <w:sz w:val="24"/>
          <w:szCs w:val="24"/>
        </w:rPr>
      </w:pPr>
      <w:r w:rsidRPr="00EE1A36">
        <w:rPr>
          <w:rFonts w:ascii="仿宋" w:eastAsia="仿宋" w:hAnsi="仿宋" w:hint="eastAsia"/>
          <w:sz w:val="24"/>
          <w:szCs w:val="24"/>
        </w:rPr>
        <w:t>⑵避免高温环境：避免烫伤；患侧手臂不要热敷，沐浴时水温不要过高；避免强光照射和高温环境。⑶避免负重：避免提、拉、推过重的物品；避免从事重体力劳动或较剧烈的体育活动。⑷其他：尽快恢复手臂功能，不要忽视轻微的手指、手背、上肢的肿胀；乘坐飞机或长途旅行时时戴弹力袖套；在医生指导下进行适当的体育锻炼，避免过度疲劳。⑸淋巴水肿的治疗：包括保守治疗和手术治疗。保守治疗指综合消肿疗法，包括人工淋巴引流、压力绷带治疗、皮肤护理等。⑹淋巴水肿的自我护理方法：①轻度或中度淋巴水肿：皮肤护理；抬高手臂；沿淋巴走向自下而上向心性按摩；做手臂功能恢复训练；戴弹力袖套。②重度淋巴水肿：戴弹力袖套，行综合消肿疗法。如手臂出现变红或异常硬等症状，亦或水肿严重时应考虑有感染发生，应抗感染及对症处理。</w:t>
      </w:r>
    </w:p>
    <w:p w:rsidR="009666CD" w:rsidRPr="00EE1A36" w:rsidRDefault="009666CD" w:rsidP="006F268C">
      <w:pPr>
        <w:rPr>
          <w:rFonts w:ascii="仿宋" w:eastAsia="仿宋" w:hAnsi="仿宋"/>
          <w:sz w:val="24"/>
          <w:szCs w:val="24"/>
        </w:rPr>
      </w:pPr>
      <w:r w:rsidRPr="00EE1A36">
        <w:rPr>
          <w:rFonts w:ascii="仿宋" w:eastAsia="仿宋" w:hAnsi="仿宋" w:hint="eastAsia"/>
          <w:sz w:val="24"/>
          <w:szCs w:val="24"/>
        </w:rPr>
        <w:t xml:space="preserve">    4、生活指导</w:t>
      </w:r>
    </w:p>
    <w:p w:rsidR="009666CD" w:rsidRPr="00EE1A36" w:rsidRDefault="009666CD" w:rsidP="006F268C">
      <w:pPr>
        <w:rPr>
          <w:rFonts w:ascii="仿宋" w:eastAsia="仿宋" w:hAnsi="仿宋"/>
          <w:sz w:val="24"/>
          <w:szCs w:val="24"/>
        </w:rPr>
      </w:pPr>
      <w:r w:rsidRPr="00EE1A36">
        <w:rPr>
          <w:rFonts w:ascii="仿宋" w:eastAsia="仿宋" w:hAnsi="仿宋" w:hint="eastAsia"/>
          <w:sz w:val="24"/>
          <w:szCs w:val="24"/>
        </w:rPr>
        <w:t xml:space="preserve">    乳腺癌疾病本身的进展或治疗期间的不良反应均有可能导致患者营养不良，而饮食过剩造成超重，也是乳腺癌患者康复期所面临的问题之一。癌症患者同时也是第二原发癌症、心血管疾病、糖尿病及骨质疏松症的高危人群，合理的营养、健康的生活方式在乳腺癌患者康复期显得尤为重要。维持健康的体重，充足的体力活动以及健康的饮食，可以降低疾病复发风险，增加无病生存的概率。</w:t>
      </w:r>
    </w:p>
    <w:p w:rsidR="009666CD" w:rsidRPr="00EE1A36" w:rsidRDefault="009666CD" w:rsidP="006F268C">
      <w:pPr>
        <w:rPr>
          <w:rFonts w:ascii="仿宋" w:eastAsia="仿宋" w:hAnsi="仿宋"/>
          <w:sz w:val="24"/>
          <w:szCs w:val="24"/>
        </w:rPr>
      </w:pPr>
      <w:r w:rsidRPr="00EE1A36">
        <w:rPr>
          <w:rFonts w:ascii="仿宋" w:eastAsia="仿宋" w:hAnsi="仿宋" w:hint="eastAsia"/>
          <w:sz w:val="24"/>
          <w:szCs w:val="24"/>
        </w:rPr>
        <w:t xml:space="preserve">     饮食营养：⑴美国癌症学会（ACS）主要推荐的是遵从富含水果、蔬菜、粗粮和豆制品的饮食。美国的公共卫生学院推荐成人每天至少喝2.0～3.0杯蔬菜汁，1.5～2.0杯水果汁。一些观察性研究认为，乳腺癌存活者的蔬菜和粗粮摄入量高，总体死亡率可降低43%。⑵需要禁忌胎盘及其制品和未知成分的保健品。</w:t>
      </w:r>
    </w:p>
    <w:p w:rsidR="009666CD" w:rsidRPr="00EE1A36" w:rsidRDefault="009666CD" w:rsidP="006F268C">
      <w:pPr>
        <w:rPr>
          <w:rFonts w:ascii="仿宋" w:eastAsia="仿宋" w:hAnsi="仿宋"/>
          <w:sz w:val="24"/>
          <w:szCs w:val="24"/>
        </w:rPr>
      </w:pPr>
      <w:r w:rsidRPr="00EE1A36">
        <w:rPr>
          <w:rFonts w:ascii="仿宋" w:eastAsia="仿宋" w:hAnsi="仿宋" w:hint="eastAsia"/>
          <w:sz w:val="24"/>
          <w:szCs w:val="24"/>
        </w:rPr>
        <w:t xml:space="preserve">    运动：康复期应选择一项适合自己并能终生坚持的有氧运动。推荐进行有规律的锻炼，每周至少150min的中等强度锻炼，1周2次的力量训练。可向患者推荐的运动有快走、骑车、游泳、打太极拳以及有氧舞蹈等。</w:t>
      </w:r>
    </w:p>
    <w:p w:rsidR="009666CD" w:rsidRPr="00EE1A36" w:rsidRDefault="009666CD" w:rsidP="006F268C">
      <w:pPr>
        <w:rPr>
          <w:rFonts w:ascii="仿宋" w:eastAsia="仿宋" w:hAnsi="仿宋"/>
          <w:sz w:val="24"/>
          <w:szCs w:val="24"/>
        </w:rPr>
      </w:pPr>
      <w:r w:rsidRPr="00EE1A36">
        <w:rPr>
          <w:rFonts w:ascii="仿宋" w:eastAsia="仿宋" w:hAnsi="仿宋" w:hint="eastAsia"/>
          <w:sz w:val="24"/>
          <w:szCs w:val="24"/>
        </w:rPr>
        <w:t>均衡饮食及有氧运动可增强人体免疫系统、有效减轻精神压力、改善睡眠、缓解由癌症及对其治疗而引起的疲劳症状，增加人体对疾病的抵抗能力。</w:t>
      </w:r>
    </w:p>
    <w:p w:rsidR="009666CD" w:rsidRPr="00EE1A36" w:rsidRDefault="009666CD" w:rsidP="006F268C">
      <w:pPr>
        <w:rPr>
          <w:rFonts w:ascii="仿宋" w:eastAsia="仿宋" w:hAnsi="仿宋"/>
          <w:sz w:val="24"/>
          <w:szCs w:val="24"/>
        </w:rPr>
      </w:pPr>
      <w:r w:rsidRPr="00EE1A36">
        <w:rPr>
          <w:rFonts w:ascii="仿宋" w:eastAsia="仿宋" w:hAnsi="仿宋" w:hint="eastAsia"/>
          <w:sz w:val="24"/>
          <w:szCs w:val="24"/>
        </w:rPr>
        <w:t xml:space="preserve">    建立健康的生活方式：保持正常的体重；坚持日常锻炼；减少酒精的摄入，不要抽烟；慎用保健品。</w:t>
      </w:r>
    </w:p>
    <w:p w:rsidR="00E972FE" w:rsidRDefault="00E972FE" w:rsidP="00E972FE">
      <w:pPr>
        <w:rPr>
          <w:rFonts w:ascii="仿宋" w:eastAsia="仿宋" w:hAnsi="仿宋"/>
          <w:sz w:val="24"/>
          <w:szCs w:val="24"/>
        </w:rPr>
      </w:pPr>
    </w:p>
    <w:p w:rsidR="00E972FE" w:rsidRDefault="00E972FE" w:rsidP="00E972FE">
      <w:pPr>
        <w:rPr>
          <w:rFonts w:ascii="仿宋" w:eastAsia="仿宋" w:hAnsi="仿宋"/>
          <w:sz w:val="24"/>
          <w:szCs w:val="24"/>
        </w:rPr>
      </w:pPr>
    </w:p>
    <w:p w:rsidR="009666CD" w:rsidRPr="00E972FE" w:rsidRDefault="009666CD" w:rsidP="00E972FE">
      <w:pPr>
        <w:rPr>
          <w:rFonts w:ascii="仿宋" w:eastAsia="仿宋" w:hAnsi="仿宋"/>
          <w:b/>
          <w:sz w:val="28"/>
          <w:szCs w:val="28"/>
        </w:rPr>
      </w:pPr>
      <w:r w:rsidRPr="00E972FE">
        <w:rPr>
          <w:rFonts w:ascii="仿宋" w:eastAsia="仿宋" w:hAnsi="仿宋" w:hint="eastAsia"/>
          <w:b/>
          <w:sz w:val="28"/>
          <w:szCs w:val="28"/>
        </w:rPr>
        <w:t>参考文献</w:t>
      </w:r>
    </w:p>
    <w:p w:rsidR="009666CD" w:rsidRPr="00EE1A36" w:rsidRDefault="009666CD" w:rsidP="006F268C">
      <w:pPr>
        <w:rPr>
          <w:rFonts w:ascii="仿宋" w:eastAsia="仿宋" w:hAnsi="仿宋" w:cs="Times New Roman"/>
          <w:sz w:val="24"/>
          <w:szCs w:val="24"/>
        </w:rPr>
      </w:pPr>
      <w:r w:rsidRPr="00EE1A36">
        <w:rPr>
          <w:rFonts w:ascii="仿宋" w:eastAsia="仿宋" w:hAnsi="仿宋" w:cs="Times New Roman" w:hint="eastAsia"/>
          <w:sz w:val="24"/>
          <w:szCs w:val="24"/>
        </w:rPr>
        <w:t>[1]中国抗癌协会乳腺癌专业委员会. 中国抗癌协会乳腺癌诊治指南与规范(2019版)[J]. 中国癌症杂志, 2019, 29(8):609-679.</w:t>
      </w:r>
    </w:p>
    <w:p w:rsidR="009666CD" w:rsidRPr="00EE1A36" w:rsidRDefault="009666CD" w:rsidP="006F268C">
      <w:pPr>
        <w:rPr>
          <w:rFonts w:ascii="仿宋" w:eastAsia="仿宋" w:hAnsi="仿宋" w:cs="Times New Roman"/>
          <w:sz w:val="24"/>
          <w:szCs w:val="24"/>
        </w:rPr>
      </w:pPr>
      <w:r w:rsidRPr="00EE1A36">
        <w:rPr>
          <w:rFonts w:ascii="仿宋" w:eastAsia="仿宋" w:hAnsi="仿宋" w:cs="Times New Roman" w:hint="eastAsia"/>
          <w:sz w:val="24"/>
          <w:szCs w:val="24"/>
        </w:rPr>
        <w:t>[2]马飞, 徐兵河, 邵志敏,等. 乳腺癌随访及伴随疾病全方位管理指南[J]. 中华肿瘤杂志, 2019, 41(001):29-41.</w:t>
      </w:r>
    </w:p>
    <w:p w:rsidR="009666CD" w:rsidRPr="00EE1A36" w:rsidRDefault="009666CD" w:rsidP="006F268C">
      <w:pPr>
        <w:autoSpaceDE w:val="0"/>
        <w:autoSpaceDN w:val="0"/>
        <w:rPr>
          <w:rFonts w:ascii="仿宋" w:eastAsia="仿宋" w:hAnsi="仿宋" w:cs="Times New Roman"/>
          <w:sz w:val="24"/>
          <w:szCs w:val="24"/>
        </w:rPr>
      </w:pPr>
      <w:r w:rsidRPr="00EE1A36">
        <w:rPr>
          <w:rFonts w:ascii="仿宋" w:eastAsia="仿宋" w:hAnsi="仿宋" w:cs="Times New Roman" w:hint="eastAsia"/>
          <w:sz w:val="24"/>
          <w:szCs w:val="24"/>
        </w:rPr>
        <w:t>[3]</w:t>
      </w:r>
      <w:r w:rsidRPr="00EE1A36">
        <w:rPr>
          <w:rFonts w:ascii="仿宋" w:eastAsia="仿宋" w:hAnsi="仿宋" w:cs="Times New Roman"/>
          <w:sz w:val="24"/>
          <w:szCs w:val="24"/>
        </w:rPr>
        <w:t>National Comprehensive Cancer Network. NCCN Clinical Practice</w:t>
      </w:r>
      <w:r w:rsidRPr="00EE1A36">
        <w:rPr>
          <w:rFonts w:ascii="仿宋" w:eastAsia="仿宋" w:hAnsi="仿宋" w:cs="Times New Roman" w:hint="eastAsia"/>
          <w:sz w:val="24"/>
          <w:szCs w:val="24"/>
        </w:rPr>
        <w:t xml:space="preserve"> </w:t>
      </w:r>
      <w:r w:rsidRPr="00EE1A36">
        <w:rPr>
          <w:rFonts w:ascii="仿宋" w:eastAsia="仿宋" w:hAnsi="仿宋" w:cs="Times New Roman"/>
          <w:sz w:val="24"/>
          <w:szCs w:val="24"/>
        </w:rPr>
        <w:t>Guidelines in Oncology: breast cancer. (Version 1.2019)</w:t>
      </w:r>
    </w:p>
    <w:p w:rsidR="009666CD" w:rsidRPr="00EE1A36" w:rsidRDefault="009666CD" w:rsidP="006F268C">
      <w:pPr>
        <w:rPr>
          <w:rFonts w:ascii="仿宋" w:eastAsia="仿宋" w:hAnsi="仿宋" w:cs="Times New Roman"/>
          <w:sz w:val="24"/>
          <w:szCs w:val="24"/>
        </w:rPr>
      </w:pPr>
      <w:r w:rsidRPr="00EE1A36">
        <w:rPr>
          <w:rFonts w:ascii="仿宋" w:eastAsia="仿宋" w:hAnsi="仿宋" w:cs="Times New Roman" w:hint="eastAsia"/>
          <w:sz w:val="24"/>
          <w:szCs w:val="24"/>
        </w:rPr>
        <w:t>[4]陈霞, 罗凤. 乳腺癌患者辅助内分泌治疗依从性现状及对策的研究进展[J]. 中华</w:t>
      </w:r>
      <w:r w:rsidRPr="00EE1A36">
        <w:rPr>
          <w:rFonts w:ascii="仿宋" w:eastAsia="仿宋" w:hAnsi="仿宋" w:cs="Times New Roman" w:hint="eastAsia"/>
          <w:sz w:val="24"/>
          <w:szCs w:val="24"/>
        </w:rPr>
        <w:lastRenderedPageBreak/>
        <w:t>乳腺病杂志(电子版), 2020, 14(02):116-119.</w:t>
      </w:r>
    </w:p>
    <w:p w:rsidR="009666CD" w:rsidRPr="00EE1A36" w:rsidRDefault="009666CD" w:rsidP="006F268C">
      <w:pPr>
        <w:rPr>
          <w:rFonts w:ascii="仿宋" w:eastAsia="仿宋" w:hAnsi="仿宋" w:cs="Times New Roman"/>
          <w:sz w:val="24"/>
          <w:szCs w:val="24"/>
        </w:rPr>
      </w:pPr>
      <w:r w:rsidRPr="00EE1A36">
        <w:rPr>
          <w:rFonts w:ascii="仿宋" w:eastAsia="仿宋" w:hAnsi="仿宋" w:cs="Times New Roman" w:hint="eastAsia"/>
          <w:sz w:val="24"/>
          <w:szCs w:val="24"/>
        </w:rPr>
        <w:t>[5]徐蕾, 金锋, 刘诗盈,等. 乳腺癌患者内分泌治疗依从性的社会心理学影响因素及行为干预的研究进展[J]. 实用医学杂志, 2018(1):2974-2977.</w:t>
      </w:r>
    </w:p>
    <w:p w:rsidR="009666CD" w:rsidRPr="00EE1A36" w:rsidRDefault="009666CD" w:rsidP="006F268C">
      <w:pPr>
        <w:rPr>
          <w:rFonts w:ascii="仿宋" w:eastAsia="仿宋" w:hAnsi="仿宋" w:cs="Times New Roman"/>
          <w:sz w:val="24"/>
          <w:szCs w:val="24"/>
        </w:rPr>
      </w:pPr>
      <w:r w:rsidRPr="00EE1A36">
        <w:rPr>
          <w:rFonts w:ascii="仿宋" w:eastAsia="仿宋" w:hAnsi="仿宋" w:cs="Times New Roman" w:hint="eastAsia"/>
          <w:sz w:val="24"/>
          <w:szCs w:val="24"/>
        </w:rPr>
        <w:t>[6]吴绍勇, 彭星辰, 冉启志. Luminal型乳腺癌患者内分泌药物治疗依从性的影响因素分析[J]. 中国药房, 2018, 29(18):85-88.</w:t>
      </w:r>
    </w:p>
    <w:p w:rsidR="009666CD" w:rsidRPr="00EE1A36" w:rsidRDefault="009666CD" w:rsidP="006F268C">
      <w:pPr>
        <w:rPr>
          <w:rFonts w:ascii="仿宋" w:eastAsia="仿宋" w:hAnsi="仿宋" w:cs="Times New Roman"/>
          <w:sz w:val="24"/>
          <w:szCs w:val="24"/>
        </w:rPr>
      </w:pPr>
      <w:r w:rsidRPr="00EE1A36">
        <w:rPr>
          <w:rFonts w:ascii="仿宋" w:eastAsia="仿宋" w:hAnsi="仿宋" w:cs="Times New Roman" w:hint="eastAsia"/>
          <w:sz w:val="24"/>
          <w:szCs w:val="24"/>
        </w:rPr>
        <w:t>[7]刘诗盈, 王爱平, 金锋,等. 乳腺癌患者内分泌治疗依从性和服药信念的现状及相关性研究[J]. 中国医科大学学报, 2017, 46(008):698-702.</w:t>
      </w:r>
    </w:p>
    <w:p w:rsidR="009666CD" w:rsidRPr="00EE1A36" w:rsidRDefault="009666CD" w:rsidP="006F268C">
      <w:pPr>
        <w:rPr>
          <w:rFonts w:ascii="仿宋" w:eastAsia="仿宋" w:hAnsi="仿宋" w:cs="Times New Roman"/>
          <w:sz w:val="24"/>
          <w:szCs w:val="24"/>
        </w:rPr>
      </w:pPr>
      <w:r w:rsidRPr="00EE1A36">
        <w:rPr>
          <w:rFonts w:ascii="仿宋" w:eastAsia="仿宋" w:hAnsi="仿宋" w:cs="Times New Roman" w:hint="eastAsia"/>
          <w:sz w:val="24"/>
          <w:szCs w:val="24"/>
        </w:rPr>
        <w:t>[8]王春青,胡雁,吴密彬,等. 乳腺癌患者内分泌治疗服药监控平台的设计及应用[J]. 中华护理杂志, 2017,</w:t>
      </w:r>
      <w:r w:rsidRPr="00EE1A36">
        <w:rPr>
          <w:rFonts w:ascii="仿宋" w:eastAsia="仿宋" w:hAnsi="仿宋" w:cs="Times New Roman"/>
          <w:sz w:val="24"/>
          <w:szCs w:val="24"/>
        </w:rPr>
        <w:t xml:space="preserve"> 52(3):261-266.</w:t>
      </w:r>
    </w:p>
    <w:p w:rsidR="009666CD" w:rsidRPr="00EE1A36" w:rsidRDefault="009666CD" w:rsidP="006F268C">
      <w:pPr>
        <w:pStyle w:val="a3"/>
        <w:spacing w:before="0" w:beforeAutospacing="0" w:after="0" w:afterAutospacing="0"/>
        <w:jc w:val="both"/>
        <w:rPr>
          <w:rFonts w:ascii="仿宋" w:eastAsia="仿宋" w:hAnsi="仿宋" w:cs="Times New Roman"/>
          <w:kern w:val="2"/>
        </w:rPr>
      </w:pPr>
      <w:r w:rsidRPr="00EE1A36">
        <w:rPr>
          <w:rFonts w:ascii="仿宋" w:eastAsia="仿宋" w:hAnsi="仿宋" w:cs="Times New Roman" w:hint="eastAsia"/>
          <w:kern w:val="2"/>
        </w:rPr>
        <w:t>[9]</w:t>
      </w:r>
      <w:r w:rsidRPr="00EE1A36">
        <w:rPr>
          <w:rFonts w:ascii="仿宋" w:eastAsia="仿宋" w:hAnsi="仿宋" w:cs="Times New Roman"/>
          <w:kern w:val="2"/>
        </w:rPr>
        <w:t xml:space="preserve"> </w:t>
      </w:r>
      <w:r w:rsidRPr="00EE1A36">
        <w:rPr>
          <w:rFonts w:ascii="仿宋" w:eastAsia="仿宋" w:hAnsi="仿宋" w:cs="Times New Roman" w:hint="eastAsia"/>
          <w:kern w:val="2"/>
        </w:rPr>
        <w:t xml:space="preserve">广东省药学会.关于推进药学门诊工作的通知: 粤药会〔2017〕26 号[S].2017-04-28. </w:t>
      </w:r>
    </w:p>
    <w:p w:rsidR="0037507B" w:rsidRDefault="009666CD" w:rsidP="0037507B">
      <w:pPr>
        <w:rPr>
          <w:rFonts w:ascii="仿宋" w:eastAsia="仿宋" w:hAnsi="仿宋" w:cs="Times New Roman"/>
          <w:sz w:val="24"/>
          <w:szCs w:val="24"/>
        </w:rPr>
      </w:pPr>
      <w:r w:rsidRPr="00EE1A36">
        <w:rPr>
          <w:rFonts w:ascii="仿宋" w:eastAsia="仿宋" w:hAnsi="仿宋" w:cs="Times New Roman" w:hint="eastAsia"/>
          <w:sz w:val="24"/>
          <w:szCs w:val="24"/>
        </w:rPr>
        <w:t>[10]广东省药学会. 药学门诊试行标准[J]. 今日药学, 2018, 28(11):7-12.</w:t>
      </w:r>
    </w:p>
    <w:p w:rsidR="0037507B" w:rsidRDefault="0037507B" w:rsidP="0037507B">
      <w:pPr>
        <w:rPr>
          <w:rFonts w:ascii="仿宋" w:eastAsia="仿宋" w:hAnsi="仿宋" w:cs="Times New Roman"/>
          <w:sz w:val="24"/>
          <w:szCs w:val="24"/>
        </w:rPr>
      </w:pPr>
    </w:p>
    <w:p w:rsidR="0037507B" w:rsidRDefault="0037507B" w:rsidP="0037507B">
      <w:pPr>
        <w:rPr>
          <w:rFonts w:ascii="仿宋" w:eastAsia="仿宋" w:hAnsi="仿宋" w:cs="Times New Roman"/>
          <w:sz w:val="24"/>
          <w:szCs w:val="24"/>
        </w:rPr>
      </w:pPr>
    </w:p>
    <w:p w:rsidR="009666CD" w:rsidRPr="00E972FE" w:rsidRDefault="009666CD" w:rsidP="0037507B">
      <w:pPr>
        <w:rPr>
          <w:rFonts w:ascii="仿宋" w:eastAsia="仿宋" w:hAnsi="仿宋"/>
          <w:b/>
          <w:sz w:val="28"/>
          <w:szCs w:val="28"/>
        </w:rPr>
      </w:pPr>
      <w:r w:rsidRPr="00E972FE">
        <w:rPr>
          <w:rFonts w:ascii="仿宋" w:eastAsia="仿宋" w:hAnsi="仿宋" w:hint="eastAsia"/>
          <w:b/>
          <w:sz w:val="28"/>
          <w:szCs w:val="28"/>
        </w:rPr>
        <w:t>附件</w:t>
      </w:r>
      <w:r w:rsidR="00EE1A36" w:rsidRPr="00E972FE">
        <w:rPr>
          <w:rFonts w:ascii="仿宋" w:eastAsia="仿宋" w:hAnsi="仿宋" w:hint="eastAsia"/>
          <w:b/>
          <w:sz w:val="28"/>
          <w:szCs w:val="28"/>
        </w:rPr>
        <w:t>：</w:t>
      </w:r>
    </w:p>
    <w:p w:rsidR="009666CD" w:rsidRPr="00EE1A36" w:rsidRDefault="0049439E" w:rsidP="006F268C">
      <w:pPr>
        <w:widowControl/>
        <w:rPr>
          <w:rFonts w:ascii="仿宋" w:eastAsia="仿宋" w:hAnsi="仿宋"/>
          <w:sz w:val="24"/>
          <w:szCs w:val="24"/>
        </w:rPr>
      </w:pPr>
      <w:r w:rsidRPr="0049439E">
        <w:rPr>
          <w:rFonts w:ascii="仿宋" w:eastAsia="仿宋" w:hAnsi="仿宋" w:hint="eastAsia"/>
          <w:sz w:val="24"/>
          <w:szCs w:val="24"/>
        </w:rPr>
        <w:t>附件</w:t>
      </w:r>
      <w:r w:rsidRPr="0049439E">
        <w:rPr>
          <w:rFonts w:ascii="仿宋" w:eastAsia="仿宋" w:hAnsi="仿宋"/>
          <w:sz w:val="24"/>
          <w:szCs w:val="24"/>
        </w:rPr>
        <w:t>1-</w:t>
      </w:r>
      <w:r w:rsidRPr="0049439E">
        <w:rPr>
          <w:rFonts w:ascii="仿宋" w:eastAsia="仿宋" w:hAnsi="仿宋" w:hint="eastAsia"/>
          <w:sz w:val="24"/>
          <w:szCs w:val="24"/>
        </w:rPr>
        <w:t>药学门诊咨询记录表</w:t>
      </w:r>
      <w:r w:rsidRPr="0049439E">
        <w:rPr>
          <w:rFonts w:ascii="仿宋" w:eastAsia="仿宋" w:hAnsi="仿宋"/>
          <w:sz w:val="24"/>
          <w:szCs w:val="24"/>
        </w:rPr>
        <w:t>-</w:t>
      </w:r>
      <w:r w:rsidRPr="0049439E">
        <w:rPr>
          <w:rFonts w:ascii="仿宋" w:eastAsia="仿宋" w:hAnsi="仿宋" w:hint="eastAsia"/>
          <w:sz w:val="24"/>
          <w:szCs w:val="24"/>
        </w:rPr>
        <w:t>乳腺癌</w:t>
      </w:r>
    </w:p>
    <w:p w:rsidR="0049439E" w:rsidRDefault="0049439E" w:rsidP="006F268C">
      <w:pPr>
        <w:rPr>
          <w:rFonts w:ascii="仿宋" w:eastAsia="仿宋" w:hAnsi="仿宋"/>
          <w:sz w:val="24"/>
          <w:szCs w:val="24"/>
        </w:rPr>
      </w:pPr>
      <w:r w:rsidRPr="0049439E">
        <w:rPr>
          <w:rFonts w:ascii="仿宋" w:eastAsia="仿宋" w:hAnsi="仿宋" w:hint="eastAsia"/>
          <w:sz w:val="24"/>
          <w:szCs w:val="24"/>
        </w:rPr>
        <w:t>附件</w:t>
      </w:r>
      <w:r w:rsidRPr="0049439E">
        <w:rPr>
          <w:rFonts w:ascii="仿宋" w:eastAsia="仿宋" w:hAnsi="仿宋"/>
          <w:sz w:val="24"/>
          <w:szCs w:val="24"/>
        </w:rPr>
        <w:t>2-</w:t>
      </w:r>
      <w:r w:rsidRPr="0049439E">
        <w:rPr>
          <w:rFonts w:ascii="仿宋" w:eastAsia="仿宋" w:hAnsi="仿宋" w:hint="eastAsia"/>
          <w:sz w:val="24"/>
          <w:szCs w:val="24"/>
        </w:rPr>
        <w:t>用药清单</w:t>
      </w:r>
    </w:p>
    <w:p w:rsidR="0049439E" w:rsidRDefault="0049439E" w:rsidP="006F268C">
      <w:pPr>
        <w:rPr>
          <w:rFonts w:ascii="仿宋" w:eastAsia="仿宋" w:hAnsi="仿宋"/>
          <w:sz w:val="24"/>
          <w:szCs w:val="24"/>
        </w:rPr>
      </w:pPr>
      <w:r w:rsidRPr="0049439E">
        <w:rPr>
          <w:rFonts w:ascii="仿宋" w:eastAsia="仿宋" w:hAnsi="仿宋" w:hint="eastAsia"/>
          <w:sz w:val="24"/>
          <w:szCs w:val="24"/>
        </w:rPr>
        <w:t>附件</w:t>
      </w:r>
      <w:r w:rsidRPr="0049439E">
        <w:rPr>
          <w:rFonts w:ascii="仿宋" w:eastAsia="仿宋" w:hAnsi="仿宋"/>
          <w:sz w:val="24"/>
          <w:szCs w:val="24"/>
        </w:rPr>
        <w:t>3-E-</w:t>
      </w:r>
      <w:r w:rsidRPr="0049439E">
        <w:rPr>
          <w:rFonts w:ascii="仿宋" w:eastAsia="仿宋" w:hAnsi="仿宋" w:hint="eastAsia"/>
          <w:sz w:val="24"/>
          <w:szCs w:val="24"/>
        </w:rPr>
        <w:t>欧洲癌症研究治疗组织生命质量量表</w:t>
      </w:r>
    </w:p>
    <w:p w:rsidR="0049439E" w:rsidRDefault="0049439E" w:rsidP="006F268C">
      <w:pPr>
        <w:rPr>
          <w:rFonts w:ascii="仿宋" w:eastAsia="仿宋" w:hAnsi="仿宋"/>
          <w:sz w:val="24"/>
          <w:szCs w:val="24"/>
        </w:rPr>
      </w:pPr>
      <w:r w:rsidRPr="0049439E">
        <w:rPr>
          <w:rFonts w:ascii="仿宋" w:eastAsia="仿宋" w:hAnsi="仿宋" w:hint="eastAsia"/>
          <w:sz w:val="24"/>
          <w:szCs w:val="24"/>
        </w:rPr>
        <w:t>附件</w:t>
      </w:r>
      <w:r w:rsidRPr="0049439E">
        <w:rPr>
          <w:rFonts w:ascii="仿宋" w:eastAsia="仿宋" w:hAnsi="仿宋"/>
          <w:sz w:val="24"/>
          <w:szCs w:val="24"/>
        </w:rPr>
        <w:t>4-C-</w:t>
      </w:r>
      <w:r w:rsidRPr="0049439E">
        <w:rPr>
          <w:rFonts w:ascii="仿宋" w:eastAsia="仿宋" w:hAnsi="仿宋" w:hint="eastAsia"/>
          <w:sz w:val="24"/>
          <w:szCs w:val="24"/>
        </w:rPr>
        <w:t>患者报告结局经济负担综合评分量表</w:t>
      </w:r>
    </w:p>
    <w:p w:rsidR="0049439E" w:rsidRDefault="0049439E" w:rsidP="006F268C">
      <w:pPr>
        <w:rPr>
          <w:rFonts w:ascii="仿宋" w:eastAsia="仿宋" w:hAnsi="仿宋"/>
          <w:sz w:val="24"/>
          <w:szCs w:val="24"/>
        </w:rPr>
      </w:pPr>
      <w:r w:rsidRPr="0049439E">
        <w:rPr>
          <w:rFonts w:ascii="仿宋" w:eastAsia="仿宋" w:hAnsi="仿宋" w:hint="eastAsia"/>
          <w:sz w:val="24"/>
          <w:szCs w:val="24"/>
        </w:rPr>
        <w:t>附件</w:t>
      </w:r>
      <w:r w:rsidRPr="0049439E">
        <w:rPr>
          <w:rFonts w:ascii="仿宋" w:eastAsia="仿宋" w:hAnsi="仿宋"/>
          <w:sz w:val="24"/>
          <w:szCs w:val="24"/>
        </w:rPr>
        <w:t>5-S-</w:t>
      </w:r>
      <w:r w:rsidRPr="0049439E">
        <w:rPr>
          <w:rFonts w:ascii="仿宋" w:eastAsia="仿宋" w:hAnsi="仿宋" w:hint="eastAsia"/>
          <w:sz w:val="24"/>
          <w:szCs w:val="24"/>
        </w:rPr>
        <w:t>社会影响量表</w:t>
      </w:r>
    </w:p>
    <w:p w:rsidR="0049439E" w:rsidRDefault="0049439E" w:rsidP="006F268C">
      <w:pPr>
        <w:rPr>
          <w:rFonts w:ascii="仿宋" w:eastAsia="仿宋" w:hAnsi="仿宋"/>
          <w:sz w:val="24"/>
          <w:szCs w:val="24"/>
        </w:rPr>
      </w:pPr>
      <w:r w:rsidRPr="0049439E">
        <w:rPr>
          <w:rFonts w:ascii="仿宋" w:eastAsia="仿宋" w:hAnsi="仿宋" w:hint="eastAsia"/>
          <w:sz w:val="24"/>
          <w:szCs w:val="24"/>
        </w:rPr>
        <w:t>附件</w:t>
      </w:r>
      <w:r w:rsidRPr="0049439E">
        <w:rPr>
          <w:rFonts w:ascii="仿宋" w:eastAsia="仿宋" w:hAnsi="仿宋"/>
          <w:sz w:val="24"/>
          <w:szCs w:val="24"/>
        </w:rPr>
        <w:t>6-</w:t>
      </w:r>
      <w:r w:rsidRPr="0049439E">
        <w:rPr>
          <w:rFonts w:ascii="仿宋" w:eastAsia="仿宋" w:hAnsi="仿宋" w:hint="eastAsia"/>
          <w:sz w:val="24"/>
          <w:szCs w:val="24"/>
        </w:rPr>
        <w:t>患者个体治疗计划及随访表</w:t>
      </w:r>
    </w:p>
    <w:p w:rsidR="009666CD" w:rsidRDefault="0049439E" w:rsidP="006F268C">
      <w:pPr>
        <w:rPr>
          <w:rFonts w:ascii="仿宋" w:eastAsia="仿宋" w:hAnsi="仿宋"/>
          <w:sz w:val="24"/>
          <w:szCs w:val="24"/>
        </w:rPr>
      </w:pPr>
      <w:r w:rsidRPr="0049439E">
        <w:rPr>
          <w:rFonts w:ascii="仿宋" w:eastAsia="仿宋" w:hAnsi="仿宋" w:hint="eastAsia"/>
          <w:sz w:val="24"/>
          <w:szCs w:val="24"/>
        </w:rPr>
        <w:t>附件</w:t>
      </w:r>
      <w:r w:rsidRPr="0049439E">
        <w:rPr>
          <w:rFonts w:ascii="仿宋" w:eastAsia="仿宋" w:hAnsi="仿宋"/>
          <w:sz w:val="24"/>
          <w:szCs w:val="24"/>
        </w:rPr>
        <w:t>7-</w:t>
      </w:r>
      <w:r w:rsidRPr="0049439E">
        <w:rPr>
          <w:rFonts w:ascii="仿宋" w:eastAsia="仿宋" w:hAnsi="仿宋" w:hint="eastAsia"/>
          <w:sz w:val="24"/>
          <w:szCs w:val="24"/>
        </w:rPr>
        <w:t>患者常见问题解释及答复</w:t>
      </w:r>
    </w:p>
    <w:p w:rsidR="00E972FE" w:rsidRDefault="00E972FE" w:rsidP="006F268C">
      <w:pPr>
        <w:rPr>
          <w:rFonts w:ascii="仿宋" w:eastAsia="仿宋" w:hAnsi="仿宋"/>
          <w:sz w:val="24"/>
          <w:szCs w:val="24"/>
        </w:rPr>
      </w:pPr>
    </w:p>
    <w:p w:rsidR="0037507B" w:rsidRDefault="0037507B" w:rsidP="006F268C">
      <w:pPr>
        <w:rPr>
          <w:rFonts w:ascii="仿宋" w:eastAsia="仿宋" w:hAnsi="仿宋"/>
          <w:sz w:val="24"/>
          <w:szCs w:val="24"/>
        </w:rPr>
      </w:pPr>
    </w:p>
    <w:p w:rsidR="0037507B" w:rsidRPr="0037507B" w:rsidRDefault="0037507B" w:rsidP="0037507B">
      <w:pPr>
        <w:widowControl/>
        <w:rPr>
          <w:rFonts w:ascii="仿宋" w:eastAsia="仿宋" w:hAnsi="仿宋"/>
          <w:b/>
          <w:sz w:val="28"/>
          <w:szCs w:val="28"/>
        </w:rPr>
      </w:pPr>
      <w:r w:rsidRPr="0037507B">
        <w:rPr>
          <w:rFonts w:ascii="仿宋" w:eastAsia="仿宋" w:hAnsi="仿宋" w:hint="eastAsia"/>
          <w:b/>
          <w:sz w:val="28"/>
          <w:szCs w:val="28"/>
        </w:rPr>
        <w:t>起草专家组</w:t>
      </w:r>
      <w:r>
        <w:rPr>
          <w:rFonts w:ascii="仿宋" w:eastAsia="仿宋" w:hAnsi="仿宋" w:hint="eastAsia"/>
          <w:b/>
          <w:sz w:val="28"/>
          <w:szCs w:val="28"/>
        </w:rPr>
        <w:t>：</w:t>
      </w:r>
    </w:p>
    <w:tbl>
      <w:tblPr>
        <w:tblW w:w="8505" w:type="dxa"/>
        <w:tblInd w:w="108" w:type="dxa"/>
        <w:tblLook w:val="04A0" w:firstRow="1" w:lastRow="0" w:firstColumn="1" w:lastColumn="0" w:noHBand="0" w:noVBand="1"/>
      </w:tblPr>
      <w:tblGrid>
        <w:gridCol w:w="1276"/>
        <w:gridCol w:w="3827"/>
        <w:gridCol w:w="3402"/>
      </w:tblGrid>
      <w:tr w:rsidR="00E71A2C" w:rsidRPr="00E71A2C" w:rsidTr="0037507B">
        <w:trPr>
          <w:trHeight w:val="285"/>
        </w:trPr>
        <w:tc>
          <w:tcPr>
            <w:tcW w:w="8505" w:type="dxa"/>
            <w:gridSpan w:val="3"/>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b/>
                <w:bCs/>
                <w:color w:val="000000"/>
                <w:kern w:val="0"/>
                <w:sz w:val="24"/>
                <w:szCs w:val="24"/>
              </w:rPr>
            </w:pPr>
            <w:r w:rsidRPr="00E71A2C">
              <w:rPr>
                <w:rFonts w:ascii="仿宋" w:eastAsia="仿宋" w:hAnsi="仿宋" w:cs="宋体" w:hint="eastAsia"/>
                <w:b/>
                <w:bCs/>
                <w:color w:val="000000"/>
                <w:kern w:val="0"/>
                <w:sz w:val="24"/>
                <w:szCs w:val="24"/>
              </w:rPr>
              <w:t>顾问：</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李国辉</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中国医学科学院肿瘤医院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黄红兵</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中山大学肿瘤防治中心</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杨敏</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广东省人民医院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陈孝</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 xml:space="preserve">中山大学附属第一医院 </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刘世霆</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南方医科大学南方医院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廖宁</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广东省人民医院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主任医师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郑志华</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广东省药学会</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副理事长兼秘书长、主任药师</w:t>
            </w:r>
          </w:p>
        </w:tc>
      </w:tr>
      <w:tr w:rsidR="00E71A2C" w:rsidRPr="00E71A2C" w:rsidTr="0037507B">
        <w:trPr>
          <w:trHeight w:val="285"/>
        </w:trPr>
        <w:tc>
          <w:tcPr>
            <w:tcW w:w="8505" w:type="dxa"/>
            <w:gridSpan w:val="3"/>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b/>
                <w:bCs/>
                <w:color w:val="000000"/>
                <w:kern w:val="0"/>
                <w:sz w:val="24"/>
                <w:szCs w:val="24"/>
              </w:rPr>
            </w:pPr>
            <w:r w:rsidRPr="00E71A2C">
              <w:rPr>
                <w:rFonts w:ascii="仿宋" w:eastAsia="仿宋" w:hAnsi="仿宋" w:cs="宋体" w:hint="eastAsia"/>
                <w:b/>
                <w:bCs/>
                <w:color w:val="000000"/>
                <w:kern w:val="0"/>
                <w:sz w:val="24"/>
                <w:szCs w:val="24"/>
              </w:rPr>
              <w:t>执笔：</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劳海燕</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广东省人民医院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王坤</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广东省人民医院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主任医师</w:t>
            </w:r>
          </w:p>
        </w:tc>
      </w:tr>
      <w:tr w:rsidR="00E71A2C" w:rsidRPr="00E71A2C" w:rsidTr="0037507B">
        <w:trPr>
          <w:trHeight w:val="285"/>
        </w:trPr>
        <w:tc>
          <w:tcPr>
            <w:tcW w:w="8505" w:type="dxa"/>
            <w:gridSpan w:val="3"/>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b/>
                <w:bCs/>
                <w:color w:val="000000"/>
                <w:kern w:val="0"/>
                <w:sz w:val="24"/>
                <w:szCs w:val="24"/>
              </w:rPr>
            </w:pPr>
            <w:r w:rsidRPr="00E71A2C">
              <w:rPr>
                <w:rFonts w:ascii="仿宋" w:eastAsia="仿宋" w:hAnsi="仿宋" w:cs="宋体" w:hint="eastAsia"/>
                <w:b/>
                <w:bCs/>
                <w:color w:val="000000"/>
                <w:kern w:val="0"/>
                <w:sz w:val="24"/>
                <w:szCs w:val="24"/>
              </w:rPr>
              <w:t>成员（以姓氏拼音为序）：</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蔡德</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汕头大学医学院第一附属医院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蔡庆群</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广州中医药大学第一附属医院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副主任中药师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陈文瑛</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南方医科大学第三附属医院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卞晓岚</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上海瑞金医院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陈孝</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 xml:space="preserve">中山大学附属第一医院 </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lastRenderedPageBreak/>
              <w:t>陈吉生</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广东药科大学附属第一医院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陈杰</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中山大学附属第一医院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副主任药师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曹伟灵</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深圳市罗湖医院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郭丹</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南方医科大学南方医院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何艳玲</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广州市妇女儿童医疗中心</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侯晓晖</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广州体育学院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教授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黄红兵</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中山大学肿瘤防治中心</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黄际薇</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 xml:space="preserve">中山大学附属第三医院 </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季波</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南部战区总医院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副主任药师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简晓顺</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广州医科大学附属肿瘤医院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李国辉</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中国医学科学院肿瘤医院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廖宁</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广东省人民医院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主任医师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刘世霆</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南方医科大学南方医院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黎小妍</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中山大学附属第六医院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李健</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南部战区总医院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主任医师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李国成</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中山大学孙逸仙纪念医院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李庆南</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汕头市中心医院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副主任药师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李玉珍</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中山大学附属第八医院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赖伟华</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广东省人民医院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劳海燕</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广东省人民医院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林华</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广东省中医院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主任中药师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刘韬</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中山大学肿瘤防治中心</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副主任药师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刘佩坚</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广州市番禺区中心医院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副主任药师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孟珺</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中国医学科学院肿瘤医院深圳医院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梅清华</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广东省第二人民医院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彭晓青</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广州市第一人民医院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邱凯锋</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中山大学孙逸仙纪念医院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司徒冰</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广州医科大学附属第三医院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唐洪梅</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广州中医药大学第一附属医院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主任中药师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田琳</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 xml:space="preserve">中山大学附属第五医院 </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王坤</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广东省人民医院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主任医师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王勇</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南方医科大学珠江医院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王勇</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广东省药学会</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学术部主任</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王燕</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广州市第一人民医院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主任医师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王立军</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北京大学深圳医院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王若伦</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广州医科大学附属第二医院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吴建龙</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深圳市第二人民医院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吴晓松</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暨南大学附属第一医院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伍俊妍</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中山大学孙逸仙纪念医院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吴新荣</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南部战区总医院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吴红卫</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广东药科大学附属第一医院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吴晓玲</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广东省中西医结合医院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魏理</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广州医科大学附属第一医院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杨敏</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广东省人民医院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lastRenderedPageBreak/>
              <w:t>杨西晓</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南方医科大学深圳医院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杨威</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 xml:space="preserve">中山大学附属第一医院 </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副主任药师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严鹏科</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广州医科大学附属第三医院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姚晖</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佛山市第二人民医院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喻珊珊</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南方医科大学珠江医院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副主任药师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周本杰</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中山大学附属第七医院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曾英彤</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广东省人民医院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邹尚荣</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广州市第八人民医院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朱志伟</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汕头大学医学院附属肿瘤医院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郑志华</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广东省药学会</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副理事长兼秘书长、主任药师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郑锦坤</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粤北人民医院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郑萍</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南方医科大学南方医院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副主任药师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张述耀</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广州市红十字会医院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张志东</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暨南大学附属第一医院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副主任药师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翟青</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复旦大学附属肿瘤医院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张文周</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河南省肿瘤医院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钟劲松</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珠海市人民医院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主任药师</w:t>
            </w:r>
          </w:p>
        </w:tc>
      </w:tr>
      <w:tr w:rsidR="00E71A2C" w:rsidRPr="00E71A2C" w:rsidTr="0037507B">
        <w:trPr>
          <w:trHeight w:val="285"/>
        </w:trPr>
        <w:tc>
          <w:tcPr>
            <w:tcW w:w="8505" w:type="dxa"/>
            <w:gridSpan w:val="3"/>
            <w:tcBorders>
              <w:top w:val="nil"/>
              <w:left w:val="nil"/>
              <w:bottom w:val="nil"/>
              <w:right w:val="nil"/>
            </w:tcBorders>
            <w:shd w:val="clear" w:color="auto" w:fill="auto"/>
            <w:noWrap/>
            <w:vAlign w:val="center"/>
            <w:hideMark/>
          </w:tcPr>
          <w:p w:rsidR="00E71A2C" w:rsidRPr="00E71A2C" w:rsidRDefault="00E71A2C" w:rsidP="0037507B">
            <w:pPr>
              <w:widowControl/>
              <w:jc w:val="left"/>
              <w:rPr>
                <w:rFonts w:ascii="仿宋" w:eastAsia="仿宋" w:hAnsi="仿宋" w:cs="宋体"/>
                <w:b/>
                <w:bCs/>
                <w:color w:val="000000"/>
                <w:kern w:val="0"/>
                <w:sz w:val="24"/>
                <w:szCs w:val="24"/>
              </w:rPr>
            </w:pPr>
            <w:r w:rsidRPr="00E71A2C">
              <w:rPr>
                <w:rFonts w:ascii="仿宋" w:eastAsia="仿宋" w:hAnsi="仿宋" w:cs="宋体" w:hint="eastAsia"/>
                <w:b/>
                <w:bCs/>
                <w:color w:val="000000"/>
                <w:kern w:val="0"/>
                <w:sz w:val="24"/>
                <w:szCs w:val="24"/>
              </w:rPr>
              <w:t>秘书：</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陈秀兰</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广东省人民医院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主管药师</w:t>
            </w:r>
          </w:p>
        </w:tc>
      </w:tr>
      <w:tr w:rsidR="00E71A2C" w:rsidRPr="00E71A2C" w:rsidTr="0037507B">
        <w:trPr>
          <w:trHeight w:val="285"/>
        </w:trPr>
        <w:tc>
          <w:tcPr>
            <w:tcW w:w="1276"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马韵子</w:t>
            </w:r>
          </w:p>
        </w:tc>
        <w:tc>
          <w:tcPr>
            <w:tcW w:w="3827"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广东省人民医院</w:t>
            </w:r>
          </w:p>
        </w:tc>
        <w:tc>
          <w:tcPr>
            <w:tcW w:w="3402" w:type="dxa"/>
            <w:tcBorders>
              <w:top w:val="nil"/>
              <w:left w:val="nil"/>
              <w:bottom w:val="nil"/>
              <w:right w:val="nil"/>
            </w:tcBorders>
            <w:shd w:val="clear" w:color="auto" w:fill="auto"/>
            <w:noWrap/>
            <w:vAlign w:val="center"/>
            <w:hideMark/>
          </w:tcPr>
          <w:p w:rsidR="00E71A2C" w:rsidRPr="00E71A2C" w:rsidRDefault="00E71A2C" w:rsidP="00E71A2C">
            <w:pPr>
              <w:widowControl/>
              <w:jc w:val="left"/>
              <w:rPr>
                <w:rFonts w:ascii="仿宋" w:eastAsia="仿宋" w:hAnsi="仿宋" w:cs="宋体"/>
                <w:color w:val="000000"/>
                <w:kern w:val="0"/>
                <w:sz w:val="24"/>
                <w:szCs w:val="24"/>
              </w:rPr>
            </w:pPr>
            <w:r w:rsidRPr="00E71A2C">
              <w:rPr>
                <w:rFonts w:ascii="仿宋" w:eastAsia="仿宋" w:hAnsi="仿宋" w:cs="宋体" w:hint="eastAsia"/>
                <w:color w:val="000000"/>
                <w:kern w:val="0"/>
                <w:sz w:val="24"/>
                <w:szCs w:val="24"/>
              </w:rPr>
              <w:t>主管药师</w:t>
            </w:r>
          </w:p>
        </w:tc>
      </w:tr>
    </w:tbl>
    <w:p w:rsidR="00E972FE" w:rsidRPr="00E972FE" w:rsidRDefault="00E972FE" w:rsidP="00E972FE">
      <w:pPr>
        <w:rPr>
          <w:rFonts w:ascii="仿宋" w:eastAsia="仿宋" w:hAnsi="仿宋"/>
          <w:sz w:val="24"/>
          <w:szCs w:val="24"/>
        </w:rPr>
      </w:pPr>
    </w:p>
    <w:sectPr w:rsidR="00E972FE" w:rsidRPr="00E972FE" w:rsidSect="006F268C">
      <w:footerReference w:type="default" r:id="rId11"/>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358" w:rsidRDefault="00241358" w:rsidP="001C485F">
      <w:r>
        <w:separator/>
      </w:r>
    </w:p>
  </w:endnote>
  <w:endnote w:type="continuationSeparator" w:id="0">
    <w:p w:rsidR="00241358" w:rsidRDefault="00241358" w:rsidP="001C4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宋体"/>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FZSSK--GBK1-0">
    <w:altName w:val="Times New Roman"/>
    <w:charset w:val="00"/>
    <w:family w:val="auto"/>
    <w:pitch w:val="default"/>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Light">
    <w:altName w:val="宋体"/>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3304813"/>
      <w:docPartObj>
        <w:docPartGallery w:val="Page Numbers (Bottom of Page)"/>
        <w:docPartUnique/>
      </w:docPartObj>
    </w:sdtPr>
    <w:sdtEndPr/>
    <w:sdtContent>
      <w:p w:rsidR="006F268C" w:rsidRDefault="008404D7">
        <w:pPr>
          <w:pStyle w:val="a5"/>
          <w:jc w:val="center"/>
        </w:pPr>
        <w:r>
          <w:fldChar w:fldCharType="begin"/>
        </w:r>
        <w:r w:rsidR="006F268C">
          <w:instrText>PAGE   \* MERGEFORMAT</w:instrText>
        </w:r>
        <w:r>
          <w:fldChar w:fldCharType="separate"/>
        </w:r>
        <w:r w:rsidR="00B87599" w:rsidRPr="00B87599">
          <w:rPr>
            <w:noProof/>
            <w:lang w:val="zh-CN"/>
          </w:rPr>
          <w:t>1</w:t>
        </w:r>
        <w:r>
          <w:fldChar w:fldCharType="end"/>
        </w:r>
      </w:p>
    </w:sdtContent>
  </w:sdt>
  <w:p w:rsidR="006F268C" w:rsidRDefault="006F268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358" w:rsidRDefault="00241358" w:rsidP="001C485F">
      <w:r>
        <w:separator/>
      </w:r>
    </w:p>
  </w:footnote>
  <w:footnote w:type="continuationSeparator" w:id="0">
    <w:p w:rsidR="00241358" w:rsidRDefault="00241358" w:rsidP="001C48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DB18F0"/>
    <w:multiLevelType w:val="multilevel"/>
    <w:tmpl w:val="15DB18F0"/>
    <w:lvl w:ilvl="0">
      <w:start w:val="1"/>
      <w:numFmt w:val="decimal"/>
      <w:lvlText w:val="%1."/>
      <w:lvlJc w:val="left"/>
      <w:pPr>
        <w:ind w:left="703" w:hanging="420"/>
      </w:pPr>
    </w:lvl>
    <w:lvl w:ilvl="1">
      <w:start w:val="1"/>
      <w:numFmt w:val="lowerLetter"/>
      <w:lvlText w:val="%2)"/>
      <w:lvlJc w:val="left"/>
      <w:pPr>
        <w:ind w:left="1123" w:hanging="420"/>
      </w:pPr>
    </w:lvl>
    <w:lvl w:ilvl="2">
      <w:start w:val="1"/>
      <w:numFmt w:val="lowerRoman"/>
      <w:lvlText w:val="%3."/>
      <w:lvlJc w:val="right"/>
      <w:pPr>
        <w:ind w:left="1543" w:hanging="420"/>
      </w:pPr>
    </w:lvl>
    <w:lvl w:ilvl="3">
      <w:start w:val="1"/>
      <w:numFmt w:val="decimal"/>
      <w:lvlText w:val="%4."/>
      <w:lvlJc w:val="left"/>
      <w:pPr>
        <w:ind w:left="1963" w:hanging="420"/>
      </w:pPr>
    </w:lvl>
    <w:lvl w:ilvl="4">
      <w:start w:val="1"/>
      <w:numFmt w:val="lowerLetter"/>
      <w:lvlText w:val="%5)"/>
      <w:lvlJc w:val="left"/>
      <w:pPr>
        <w:ind w:left="2383" w:hanging="420"/>
      </w:pPr>
    </w:lvl>
    <w:lvl w:ilvl="5">
      <w:start w:val="1"/>
      <w:numFmt w:val="lowerRoman"/>
      <w:lvlText w:val="%6."/>
      <w:lvlJc w:val="right"/>
      <w:pPr>
        <w:ind w:left="2803" w:hanging="420"/>
      </w:pPr>
    </w:lvl>
    <w:lvl w:ilvl="6">
      <w:start w:val="1"/>
      <w:numFmt w:val="decimal"/>
      <w:lvlText w:val="%7."/>
      <w:lvlJc w:val="left"/>
      <w:pPr>
        <w:ind w:left="3223" w:hanging="420"/>
      </w:pPr>
    </w:lvl>
    <w:lvl w:ilvl="7">
      <w:start w:val="1"/>
      <w:numFmt w:val="lowerLetter"/>
      <w:lvlText w:val="%8)"/>
      <w:lvlJc w:val="left"/>
      <w:pPr>
        <w:ind w:left="3643" w:hanging="420"/>
      </w:pPr>
    </w:lvl>
    <w:lvl w:ilvl="8">
      <w:start w:val="1"/>
      <w:numFmt w:val="lowerRoman"/>
      <w:lvlText w:val="%9."/>
      <w:lvlJc w:val="right"/>
      <w:pPr>
        <w:ind w:left="406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666CD"/>
    <w:rsid w:val="00012319"/>
    <w:rsid w:val="00077CB4"/>
    <w:rsid w:val="00133AA1"/>
    <w:rsid w:val="001C485F"/>
    <w:rsid w:val="001F034C"/>
    <w:rsid w:val="00241358"/>
    <w:rsid w:val="002E3C02"/>
    <w:rsid w:val="00346E23"/>
    <w:rsid w:val="00366A8F"/>
    <w:rsid w:val="003714B1"/>
    <w:rsid w:val="0037507B"/>
    <w:rsid w:val="00375BBB"/>
    <w:rsid w:val="00426328"/>
    <w:rsid w:val="0049439E"/>
    <w:rsid w:val="004A5784"/>
    <w:rsid w:val="00554C28"/>
    <w:rsid w:val="006D75C3"/>
    <w:rsid w:val="006F268C"/>
    <w:rsid w:val="008404D7"/>
    <w:rsid w:val="00840BE1"/>
    <w:rsid w:val="00956F26"/>
    <w:rsid w:val="009666CD"/>
    <w:rsid w:val="00A45497"/>
    <w:rsid w:val="00AF63E4"/>
    <w:rsid w:val="00B14605"/>
    <w:rsid w:val="00B87599"/>
    <w:rsid w:val="00C01AED"/>
    <w:rsid w:val="00E71A2C"/>
    <w:rsid w:val="00E8088E"/>
    <w:rsid w:val="00E972FE"/>
    <w:rsid w:val="00EE1A36"/>
    <w:rsid w:val="00EF7F02"/>
    <w:rsid w:val="00FD3DED"/>
    <w:rsid w:val="00FF2A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A33101-3D63-4ADD-BD0F-6B4F0A115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6C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9666CD"/>
    <w:pPr>
      <w:widowControl/>
      <w:spacing w:before="100" w:beforeAutospacing="1" w:after="100" w:afterAutospacing="1"/>
      <w:jc w:val="left"/>
    </w:pPr>
    <w:rPr>
      <w:rFonts w:ascii="宋体" w:eastAsia="宋体" w:hAnsi="宋体" w:cs="宋体"/>
      <w:kern w:val="0"/>
      <w:sz w:val="24"/>
      <w:szCs w:val="24"/>
    </w:rPr>
  </w:style>
  <w:style w:type="paragraph" w:customStyle="1" w:styleId="1">
    <w:name w:val="列出段落1"/>
    <w:basedOn w:val="a"/>
    <w:uiPriority w:val="34"/>
    <w:qFormat/>
    <w:rsid w:val="009666CD"/>
    <w:pPr>
      <w:ind w:firstLineChars="200" w:firstLine="420"/>
    </w:pPr>
  </w:style>
  <w:style w:type="paragraph" w:styleId="a4">
    <w:name w:val="header"/>
    <w:basedOn w:val="a"/>
    <w:link w:val="Char"/>
    <w:uiPriority w:val="99"/>
    <w:unhideWhenUsed/>
    <w:rsid w:val="001C48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C485F"/>
    <w:rPr>
      <w:sz w:val="18"/>
      <w:szCs w:val="18"/>
    </w:rPr>
  </w:style>
  <w:style w:type="paragraph" w:styleId="a5">
    <w:name w:val="footer"/>
    <w:basedOn w:val="a"/>
    <w:link w:val="Char0"/>
    <w:uiPriority w:val="99"/>
    <w:unhideWhenUsed/>
    <w:rsid w:val="001C485F"/>
    <w:pPr>
      <w:tabs>
        <w:tab w:val="center" w:pos="4153"/>
        <w:tab w:val="right" w:pos="8306"/>
      </w:tabs>
      <w:snapToGrid w:val="0"/>
      <w:jc w:val="left"/>
    </w:pPr>
    <w:rPr>
      <w:sz w:val="18"/>
      <w:szCs w:val="18"/>
    </w:rPr>
  </w:style>
  <w:style w:type="character" w:customStyle="1" w:styleId="Char0">
    <w:name w:val="页脚 Char"/>
    <w:basedOn w:val="a0"/>
    <w:link w:val="a5"/>
    <w:uiPriority w:val="99"/>
    <w:rsid w:val="001C485F"/>
    <w:rPr>
      <w:sz w:val="18"/>
      <w:szCs w:val="18"/>
    </w:rPr>
  </w:style>
  <w:style w:type="paragraph" w:styleId="a6">
    <w:name w:val="Balloon Text"/>
    <w:basedOn w:val="a"/>
    <w:link w:val="Char1"/>
    <w:uiPriority w:val="99"/>
    <w:semiHidden/>
    <w:unhideWhenUsed/>
    <w:rsid w:val="001C485F"/>
    <w:rPr>
      <w:sz w:val="18"/>
      <w:szCs w:val="18"/>
    </w:rPr>
  </w:style>
  <w:style w:type="character" w:customStyle="1" w:styleId="Char1">
    <w:name w:val="批注框文本 Char"/>
    <w:basedOn w:val="a0"/>
    <w:link w:val="a6"/>
    <w:uiPriority w:val="99"/>
    <w:semiHidden/>
    <w:rsid w:val="001C485F"/>
    <w:rPr>
      <w:sz w:val="18"/>
      <w:szCs w:val="18"/>
    </w:rPr>
  </w:style>
  <w:style w:type="table" w:styleId="a7">
    <w:name w:val="Table Grid"/>
    <w:basedOn w:val="a1"/>
    <w:uiPriority w:val="39"/>
    <w:rsid w:val="00E972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839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43C055EAA5DC4FA4212E740C1EC4DA" ma:contentTypeVersion="11" ma:contentTypeDescription="Create a new document." ma:contentTypeScope="" ma:versionID="2f855b47e079d6e4fb181ae4aedca987">
  <xsd:schema xmlns:xsd="http://www.w3.org/2001/XMLSchema" xmlns:xs="http://www.w3.org/2001/XMLSchema" xmlns:p="http://schemas.microsoft.com/office/2006/metadata/properties" xmlns:ns3="d0186414-94d2-46f3-9874-bdfe0d55d53b" xmlns:ns4="962f51a7-c52d-4e51-9341-375fea96d7d8" targetNamespace="http://schemas.microsoft.com/office/2006/metadata/properties" ma:root="true" ma:fieldsID="706e1efe4d16d329ea01329c3ba69397" ns3:_="" ns4:_="">
    <xsd:import namespace="d0186414-94d2-46f3-9874-bdfe0d55d53b"/>
    <xsd:import namespace="962f51a7-c52d-4e51-9341-375fea96d7d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186414-94d2-46f3-9874-bdfe0d55d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2f51a7-c52d-4e51-9341-375fea96d7d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938485-6C97-48B5-9F02-78FCB95347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C42EB0E-F820-4D24-97EB-F111898E9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186414-94d2-46f3-9874-bdfe0d55d53b"/>
    <ds:schemaRef ds:uri="962f51a7-c52d-4e51-9341-375fea96d7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E15C35-A328-4998-AE32-5B6E5691DE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8</Pages>
  <Words>1230</Words>
  <Characters>7015</Characters>
  <Application>Microsoft Office Word</Application>
  <DocSecurity>0</DocSecurity>
  <Lines>58</Lines>
  <Paragraphs>16</Paragraphs>
  <ScaleCrop>false</ScaleCrop>
  <Company/>
  <LinksUpToDate>false</LinksUpToDate>
  <CharactersWithSpaces>8229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 Yuan</dc:creator>
  <cp:keywords/>
  <dc:description/>
  <cp:lastModifiedBy>aa</cp:lastModifiedBy>
  <cp:revision>15</cp:revision>
  <dcterms:created xsi:type="dcterms:W3CDTF">2021-04-14T10:11:00Z</dcterms:created>
  <dcterms:modified xsi:type="dcterms:W3CDTF">2021-07-15T03:00:00Z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0x0101000943C055EAA5DC4FA4212E740C1EC4DA</vt:lpwstr>
  </property>
</Properties>
</file>